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FF7" w:rsidRDefault="004D5FF7" w:rsidP="006A0F51">
      <w:pPr>
        <w:contextualSpacing/>
        <w:jc w:val="center"/>
        <w:rPr>
          <w:rFonts w:ascii="Calibri" w:hAnsi="Calibri" w:cs="Calibri"/>
          <w:b/>
          <w:sz w:val="24"/>
          <w:szCs w:val="24"/>
        </w:rPr>
      </w:pPr>
    </w:p>
    <w:p w:rsidR="004D5FF7" w:rsidRDefault="004D5FF7" w:rsidP="006A0F51">
      <w:pPr>
        <w:contextualSpacing/>
        <w:jc w:val="center"/>
        <w:rPr>
          <w:rFonts w:ascii="Calibri" w:hAnsi="Calibri" w:cs="Calibri"/>
          <w:b/>
          <w:sz w:val="24"/>
          <w:szCs w:val="24"/>
        </w:rPr>
      </w:pPr>
    </w:p>
    <w:p w:rsidR="004D5FF7" w:rsidRDefault="004D5FF7" w:rsidP="006A0F51">
      <w:pPr>
        <w:contextualSpacing/>
        <w:jc w:val="center"/>
        <w:rPr>
          <w:rFonts w:ascii="Calibri" w:hAnsi="Calibri" w:cs="Calibri"/>
          <w:b/>
          <w:sz w:val="24"/>
          <w:szCs w:val="24"/>
        </w:rPr>
      </w:pPr>
    </w:p>
    <w:p w:rsidR="00F753A5" w:rsidRDefault="00F753A5" w:rsidP="006A0F51">
      <w:pPr>
        <w:contextualSpacing/>
        <w:jc w:val="center"/>
        <w:rPr>
          <w:rFonts w:ascii="Calibri" w:hAnsi="Calibri" w:cs="Calibri"/>
          <w:b/>
          <w:sz w:val="24"/>
          <w:szCs w:val="24"/>
        </w:rPr>
      </w:pPr>
    </w:p>
    <w:p w:rsidR="004F5881" w:rsidRPr="000B7E41" w:rsidRDefault="000C1F24" w:rsidP="006A0F51">
      <w:pPr>
        <w:contextualSpacing/>
        <w:jc w:val="center"/>
        <w:rPr>
          <w:rFonts w:ascii="Calibri" w:hAnsi="Calibri" w:cs="Calibri"/>
          <w:b/>
          <w:sz w:val="24"/>
          <w:szCs w:val="24"/>
        </w:rPr>
      </w:pPr>
      <w:r w:rsidRPr="00DD5C6B">
        <w:rPr>
          <w:rFonts w:ascii="Calibri" w:hAnsi="Calibri" w:cs="Calibri"/>
          <w:b/>
          <w:sz w:val="28"/>
          <w:szCs w:val="24"/>
        </w:rPr>
        <w:t>PGY</w:t>
      </w:r>
      <w:r w:rsidR="001931EB" w:rsidRPr="00DD5C6B">
        <w:rPr>
          <w:rFonts w:ascii="Calibri" w:hAnsi="Calibri" w:cs="Calibri"/>
          <w:b/>
          <w:sz w:val="28"/>
          <w:szCs w:val="24"/>
        </w:rPr>
        <w:t xml:space="preserve">2 </w:t>
      </w:r>
      <w:r w:rsidR="007609E8">
        <w:rPr>
          <w:rFonts w:ascii="Calibri" w:hAnsi="Calibri" w:cs="Calibri"/>
          <w:b/>
          <w:sz w:val="28"/>
          <w:szCs w:val="24"/>
        </w:rPr>
        <w:t>Emergency Medicine</w:t>
      </w:r>
      <w:r w:rsidRPr="00DD5C6B">
        <w:rPr>
          <w:rFonts w:ascii="Calibri" w:hAnsi="Calibri" w:cs="Calibri"/>
          <w:b/>
          <w:sz w:val="28"/>
          <w:szCs w:val="24"/>
        </w:rPr>
        <w:t xml:space="preserve"> </w:t>
      </w:r>
      <w:r w:rsidR="004F5881" w:rsidRPr="00DD5C6B">
        <w:rPr>
          <w:rFonts w:ascii="Calibri" w:hAnsi="Calibri" w:cs="Calibri"/>
          <w:b/>
          <w:sz w:val="28"/>
          <w:szCs w:val="24"/>
        </w:rPr>
        <w:t>Learning Experience</w:t>
      </w:r>
      <w:r w:rsidR="00196EAE" w:rsidRPr="00DD5C6B">
        <w:rPr>
          <w:rFonts w:ascii="Calibri" w:hAnsi="Calibri" w:cs="Calibri"/>
          <w:b/>
          <w:sz w:val="28"/>
          <w:szCs w:val="24"/>
        </w:rPr>
        <w:t xml:space="preserve"> Descriptions </w:t>
      </w:r>
    </w:p>
    <w:p w:rsidR="00F055A2" w:rsidRPr="000B7E41" w:rsidRDefault="00F055A2" w:rsidP="006A0F51">
      <w:pPr>
        <w:contextualSpacing/>
        <w:jc w:val="center"/>
        <w:rPr>
          <w:rFonts w:ascii="Calibri" w:hAnsi="Calibri" w:cs="Calibri"/>
          <w:b/>
          <w:sz w:val="22"/>
          <w:szCs w:val="22"/>
        </w:rPr>
      </w:pPr>
    </w:p>
    <w:tbl>
      <w:tblPr>
        <w:tblW w:w="9558" w:type="dxa"/>
        <w:jc w:val="center"/>
        <w:tblLayout w:type="fixed"/>
        <w:tblLook w:val="04A0" w:firstRow="1" w:lastRow="0" w:firstColumn="1" w:lastColumn="0" w:noHBand="0" w:noVBand="1"/>
      </w:tblPr>
      <w:tblGrid>
        <w:gridCol w:w="3708"/>
        <w:gridCol w:w="5850"/>
      </w:tblGrid>
      <w:tr w:rsidR="008E2A64" w:rsidRPr="008D630E" w:rsidTr="00241A29">
        <w:trPr>
          <w:cantSplit/>
          <w:trHeight w:val="287"/>
          <w:jc w:val="center"/>
        </w:trPr>
        <w:tc>
          <w:tcPr>
            <w:tcW w:w="95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E2A64" w:rsidRPr="008D630E" w:rsidRDefault="008E2A64" w:rsidP="0076368E">
            <w:pPr>
              <w:contextualSpacing/>
              <w:jc w:val="center"/>
              <w:rPr>
                <w:rFonts w:ascii="Calibri" w:hAnsi="Calibri"/>
                <w:b/>
                <w:sz w:val="22"/>
                <w:szCs w:val="22"/>
              </w:rPr>
            </w:pPr>
            <w:r w:rsidRPr="008D630E">
              <w:rPr>
                <w:rFonts w:ascii="Calibri" w:hAnsi="Calibri"/>
                <w:b/>
                <w:sz w:val="22"/>
                <w:szCs w:val="22"/>
              </w:rPr>
              <w:t xml:space="preserve">Required </w:t>
            </w:r>
            <w:r w:rsidR="00DA6AA7" w:rsidRPr="008D630E">
              <w:rPr>
                <w:rFonts w:ascii="Calibri" w:hAnsi="Calibri"/>
                <w:b/>
                <w:sz w:val="22"/>
                <w:szCs w:val="22"/>
              </w:rPr>
              <w:t>Learning</w:t>
            </w:r>
            <w:r w:rsidR="0076368E" w:rsidRPr="008D630E">
              <w:rPr>
                <w:rFonts w:ascii="Calibri" w:hAnsi="Calibri"/>
                <w:b/>
                <w:sz w:val="22"/>
                <w:szCs w:val="22"/>
              </w:rPr>
              <w:t xml:space="preserve"> Experiences</w:t>
            </w:r>
          </w:p>
        </w:tc>
      </w:tr>
      <w:tr w:rsidR="00593BFB" w:rsidRPr="008D630E" w:rsidTr="00F90D8D">
        <w:trPr>
          <w:cantSplit/>
          <w:trHeight w:val="287"/>
          <w:jc w:val="center"/>
        </w:trPr>
        <w:tc>
          <w:tcPr>
            <w:tcW w:w="3708" w:type="dxa"/>
            <w:tcBorders>
              <w:bottom w:val="single" w:sz="4" w:space="0" w:color="auto"/>
            </w:tcBorders>
            <w:shd w:val="clear" w:color="auto" w:fill="auto"/>
            <w:vAlign w:val="center"/>
          </w:tcPr>
          <w:p w:rsidR="00593BFB" w:rsidRDefault="00593BFB" w:rsidP="00DB0BF2">
            <w:pPr>
              <w:tabs>
                <w:tab w:val="left" w:pos="270"/>
                <w:tab w:val="left" w:pos="900"/>
              </w:tabs>
              <w:contextualSpacing/>
              <w:jc w:val="center"/>
              <w:rPr>
                <w:rFonts w:ascii="Calibri" w:hAnsi="Calibri"/>
                <w:b/>
              </w:rPr>
            </w:pPr>
            <w:r>
              <w:rPr>
                <w:rFonts w:ascii="Calibri" w:hAnsi="Calibri"/>
                <w:b/>
              </w:rPr>
              <w:t>Adult Emergency Medicine I and II</w:t>
            </w:r>
          </w:p>
          <w:p w:rsidR="00593BFB" w:rsidRDefault="00593BFB" w:rsidP="00DB0BF2">
            <w:pPr>
              <w:tabs>
                <w:tab w:val="left" w:pos="270"/>
                <w:tab w:val="left" w:pos="900"/>
              </w:tabs>
              <w:contextualSpacing/>
              <w:jc w:val="center"/>
              <w:rPr>
                <w:rFonts w:ascii="Calibri" w:hAnsi="Calibri"/>
              </w:rPr>
            </w:pPr>
            <w:r>
              <w:rPr>
                <w:rFonts w:ascii="Calibri" w:hAnsi="Calibri"/>
              </w:rPr>
              <w:t xml:space="preserve">Required, 6 months </w:t>
            </w:r>
          </w:p>
          <w:p w:rsidR="00593BFB" w:rsidRDefault="00593BFB" w:rsidP="00DB0BF2">
            <w:pPr>
              <w:tabs>
                <w:tab w:val="left" w:pos="270"/>
                <w:tab w:val="left" w:pos="900"/>
              </w:tabs>
              <w:contextualSpacing/>
              <w:jc w:val="center"/>
              <w:rPr>
                <w:rFonts w:ascii="Calibri" w:hAnsi="Calibri"/>
              </w:rPr>
            </w:pPr>
          </w:p>
          <w:p w:rsidR="00593BFB" w:rsidRDefault="00593BFB" w:rsidP="00DB0BF2">
            <w:pPr>
              <w:tabs>
                <w:tab w:val="left" w:pos="270"/>
                <w:tab w:val="left" w:pos="900"/>
              </w:tabs>
              <w:contextualSpacing/>
              <w:jc w:val="center"/>
              <w:rPr>
                <w:rFonts w:ascii="Calibri" w:hAnsi="Calibri"/>
              </w:rPr>
            </w:pPr>
            <w:r>
              <w:rPr>
                <w:rFonts w:ascii="Calibri" w:hAnsi="Calibri"/>
              </w:rPr>
              <w:t>Brad Hall, Pharm.D.</w:t>
            </w:r>
          </w:p>
          <w:p w:rsidR="00593BFB" w:rsidRPr="00593BFB" w:rsidRDefault="00593BFB" w:rsidP="00DB0BF2">
            <w:pPr>
              <w:tabs>
                <w:tab w:val="left" w:pos="270"/>
                <w:tab w:val="left" w:pos="900"/>
              </w:tabs>
              <w:contextualSpacing/>
              <w:jc w:val="center"/>
              <w:rPr>
                <w:rFonts w:ascii="Calibri" w:hAnsi="Calibri"/>
              </w:rPr>
            </w:pPr>
            <w:r>
              <w:rPr>
                <w:rFonts w:ascii="Calibri" w:hAnsi="Calibri"/>
              </w:rPr>
              <w:t>Kayla Wilson, Pharm.D., BCPS</w:t>
            </w:r>
          </w:p>
        </w:tc>
        <w:tc>
          <w:tcPr>
            <w:tcW w:w="5850" w:type="dxa"/>
            <w:tcBorders>
              <w:bottom w:val="single" w:sz="4" w:space="0" w:color="auto"/>
            </w:tcBorders>
            <w:shd w:val="clear" w:color="auto" w:fill="auto"/>
          </w:tcPr>
          <w:p w:rsidR="00593BFB" w:rsidRDefault="00AA6F01" w:rsidP="0070238F">
            <w:pPr>
              <w:contextualSpacing/>
              <w:rPr>
                <w:rFonts w:ascii="Calibri" w:hAnsi="Calibri"/>
              </w:rPr>
            </w:pPr>
            <w:r>
              <w:rPr>
                <w:rFonts w:ascii="Calibri" w:hAnsi="Calibri"/>
              </w:rPr>
              <w:t xml:space="preserve">The EM I and II rotations are each three months in length </w:t>
            </w:r>
            <w:r w:rsidR="00491AB0">
              <w:rPr>
                <w:rFonts w:ascii="Calibri" w:hAnsi="Calibri"/>
              </w:rPr>
              <w:t xml:space="preserve">and </w:t>
            </w:r>
            <w:r>
              <w:rPr>
                <w:rFonts w:ascii="Calibri" w:hAnsi="Calibri"/>
              </w:rPr>
              <w:t xml:space="preserve">designed to develop and refine </w:t>
            </w:r>
            <w:r w:rsidR="00491AB0">
              <w:rPr>
                <w:rFonts w:ascii="Calibri" w:hAnsi="Calibri"/>
              </w:rPr>
              <w:t>the pharmacotherapeutic and interpersonal skills necessary to care for emergency medicine patients. The resident will gain gradual autonomy within the department as the experience progresses and will work to assume fu</w:t>
            </w:r>
            <w:r w:rsidR="00241A29">
              <w:rPr>
                <w:rFonts w:ascii="Calibri" w:hAnsi="Calibri"/>
              </w:rPr>
              <w:t>ll responsibility for 165</w:t>
            </w:r>
            <w:r w:rsidR="00491AB0">
              <w:rPr>
                <w:rFonts w:ascii="Calibri" w:hAnsi="Calibri"/>
              </w:rPr>
              <w:t xml:space="preserve"> bed emergency department. The resident will respond to adult and pediatric cardiac arrests, stroke alerts, and trauma alerts while also completing consults and drug information requests. </w:t>
            </w:r>
            <w:r w:rsidR="0070238F">
              <w:rPr>
                <w:rFonts w:ascii="Calibri" w:hAnsi="Calibri"/>
              </w:rPr>
              <w:t xml:space="preserve">This is the fundamental experience for emergency medicine and the resident will be expected to practice independently at the culmination of EM I. EMII will focus on strengthening the clinical established in EMI, as well as provide more opportunities to precept APPE students.  </w:t>
            </w:r>
            <w:r w:rsidR="00B66E68">
              <w:rPr>
                <w:rFonts w:ascii="Calibri" w:hAnsi="Calibri"/>
              </w:rPr>
              <w:t xml:space="preserve">Patient care and topic discussion include: EKG </w:t>
            </w:r>
            <w:r w:rsidR="00241A29">
              <w:rPr>
                <w:rFonts w:ascii="Calibri" w:hAnsi="Calibri"/>
              </w:rPr>
              <w:t>interpretation, ACLS, acid-base disturbances</w:t>
            </w:r>
            <w:proofErr w:type="gramStart"/>
            <w:r w:rsidR="00241A29">
              <w:rPr>
                <w:rFonts w:ascii="Calibri" w:hAnsi="Calibri"/>
              </w:rPr>
              <w:t xml:space="preserve">, </w:t>
            </w:r>
            <w:r w:rsidR="00B66E68">
              <w:rPr>
                <w:rFonts w:ascii="Calibri" w:hAnsi="Calibri"/>
              </w:rPr>
              <w:t xml:space="preserve"> RSI</w:t>
            </w:r>
            <w:proofErr w:type="gramEnd"/>
            <w:r w:rsidR="00B66E68">
              <w:rPr>
                <w:rFonts w:ascii="Calibri" w:hAnsi="Calibri"/>
              </w:rPr>
              <w:t xml:space="preserve">, trauma resuscitation, sepsis, vasopressor management, pain and sedation, stroke, DKA, and toxicological emergencies. </w:t>
            </w:r>
          </w:p>
          <w:p w:rsidR="00FD6BCD" w:rsidRPr="008D630E" w:rsidRDefault="00FD6BCD" w:rsidP="0070238F">
            <w:pPr>
              <w:contextualSpacing/>
              <w:rPr>
                <w:rFonts w:ascii="Calibri" w:hAnsi="Calibri"/>
              </w:rPr>
            </w:pPr>
          </w:p>
        </w:tc>
      </w:tr>
      <w:tr w:rsidR="00593BFB" w:rsidRPr="008D630E" w:rsidTr="00F90D8D">
        <w:trPr>
          <w:cantSplit/>
          <w:trHeight w:val="287"/>
          <w:jc w:val="center"/>
        </w:trPr>
        <w:tc>
          <w:tcPr>
            <w:tcW w:w="3708" w:type="dxa"/>
            <w:tcBorders>
              <w:top w:val="single" w:sz="4" w:space="0" w:color="auto"/>
              <w:bottom w:val="single" w:sz="4" w:space="0" w:color="auto"/>
            </w:tcBorders>
            <w:shd w:val="clear" w:color="auto" w:fill="auto"/>
            <w:vAlign w:val="center"/>
          </w:tcPr>
          <w:p w:rsidR="00593BFB" w:rsidRDefault="00593BFB" w:rsidP="00DB0BF2">
            <w:pPr>
              <w:tabs>
                <w:tab w:val="left" w:pos="270"/>
                <w:tab w:val="left" w:pos="900"/>
              </w:tabs>
              <w:contextualSpacing/>
              <w:jc w:val="center"/>
              <w:rPr>
                <w:rFonts w:ascii="Calibri" w:hAnsi="Calibri"/>
                <w:b/>
              </w:rPr>
            </w:pPr>
            <w:r>
              <w:rPr>
                <w:rFonts w:ascii="Calibri" w:hAnsi="Calibri"/>
                <w:b/>
              </w:rPr>
              <w:t xml:space="preserve">Critical Care </w:t>
            </w:r>
          </w:p>
          <w:p w:rsidR="00593BFB" w:rsidRDefault="00593BFB" w:rsidP="00DB0BF2">
            <w:pPr>
              <w:tabs>
                <w:tab w:val="left" w:pos="270"/>
                <w:tab w:val="left" w:pos="900"/>
              </w:tabs>
              <w:contextualSpacing/>
              <w:jc w:val="center"/>
              <w:rPr>
                <w:rFonts w:ascii="Calibri" w:hAnsi="Calibri"/>
              </w:rPr>
            </w:pPr>
            <w:r>
              <w:rPr>
                <w:rFonts w:ascii="Calibri" w:hAnsi="Calibri"/>
              </w:rPr>
              <w:t xml:space="preserve">Required, </w:t>
            </w:r>
            <w:r w:rsidR="00F90D8D">
              <w:rPr>
                <w:rFonts w:ascii="Calibri" w:hAnsi="Calibri"/>
              </w:rPr>
              <w:t>2-4 weeks</w:t>
            </w:r>
            <w:r>
              <w:rPr>
                <w:rFonts w:ascii="Calibri" w:hAnsi="Calibri"/>
              </w:rPr>
              <w:t xml:space="preserve"> </w:t>
            </w:r>
          </w:p>
          <w:p w:rsidR="00593BFB" w:rsidRDefault="00593BFB" w:rsidP="00DB0BF2">
            <w:pPr>
              <w:tabs>
                <w:tab w:val="left" w:pos="270"/>
                <w:tab w:val="left" w:pos="900"/>
              </w:tabs>
              <w:contextualSpacing/>
              <w:jc w:val="center"/>
              <w:rPr>
                <w:rFonts w:ascii="Calibri" w:hAnsi="Calibri"/>
              </w:rPr>
            </w:pPr>
          </w:p>
          <w:p w:rsidR="00593BFB" w:rsidRDefault="00593BFB" w:rsidP="00593BFB">
            <w:pPr>
              <w:tabs>
                <w:tab w:val="left" w:pos="270"/>
                <w:tab w:val="left" w:pos="900"/>
              </w:tabs>
              <w:contextualSpacing/>
              <w:jc w:val="center"/>
              <w:rPr>
                <w:rFonts w:ascii="Calibri" w:hAnsi="Calibri"/>
              </w:rPr>
            </w:pPr>
            <w:r w:rsidRPr="008D630E">
              <w:rPr>
                <w:rFonts w:ascii="Calibri" w:hAnsi="Calibri"/>
              </w:rPr>
              <w:t>Jennifer Montero, Pharm</w:t>
            </w:r>
            <w:r>
              <w:rPr>
                <w:rFonts w:ascii="Calibri" w:hAnsi="Calibri"/>
              </w:rPr>
              <w:t>.</w:t>
            </w:r>
            <w:r w:rsidRPr="008D630E">
              <w:rPr>
                <w:rFonts w:ascii="Calibri" w:hAnsi="Calibri"/>
              </w:rPr>
              <w:t>D</w:t>
            </w:r>
            <w:r>
              <w:rPr>
                <w:rFonts w:ascii="Calibri" w:hAnsi="Calibri"/>
              </w:rPr>
              <w:t>.</w:t>
            </w:r>
            <w:r w:rsidRPr="008D630E">
              <w:rPr>
                <w:rFonts w:ascii="Calibri" w:hAnsi="Calibri"/>
              </w:rPr>
              <w:t>, BCPS</w:t>
            </w:r>
            <w:r>
              <w:rPr>
                <w:rFonts w:ascii="Calibri" w:hAnsi="Calibri"/>
              </w:rPr>
              <w:t>, BCCCP</w:t>
            </w:r>
          </w:p>
          <w:p w:rsidR="00593BFB" w:rsidRPr="008B5BF1" w:rsidRDefault="00593BFB" w:rsidP="008B5BF1">
            <w:pPr>
              <w:tabs>
                <w:tab w:val="left" w:pos="270"/>
                <w:tab w:val="left" w:pos="900"/>
              </w:tabs>
              <w:contextualSpacing/>
              <w:jc w:val="center"/>
              <w:rPr>
                <w:rFonts w:ascii="Calibri" w:hAnsi="Calibri"/>
              </w:rPr>
            </w:pPr>
            <w:r w:rsidRPr="008B5BF1">
              <w:rPr>
                <w:rFonts w:ascii="Calibri" w:hAnsi="Calibri"/>
              </w:rPr>
              <w:t xml:space="preserve">Rebecca Rich, </w:t>
            </w:r>
            <w:proofErr w:type="gramStart"/>
            <w:r w:rsidRPr="008B5BF1">
              <w:rPr>
                <w:rFonts w:ascii="Calibri" w:hAnsi="Calibri"/>
              </w:rPr>
              <w:t>Pharm.D.,</w:t>
            </w:r>
            <w:proofErr w:type="gramEnd"/>
            <w:r w:rsidRPr="008B5BF1">
              <w:rPr>
                <w:rFonts w:ascii="Calibri" w:hAnsi="Calibri"/>
              </w:rPr>
              <w:t xml:space="preserve"> BCPS, BCCCP</w:t>
            </w:r>
            <w:r w:rsidR="00241A29" w:rsidRPr="008B5BF1">
              <w:rPr>
                <w:rFonts w:ascii="Calibri" w:hAnsi="Calibri"/>
              </w:rPr>
              <w:t>, FCCM</w:t>
            </w:r>
          </w:p>
          <w:p w:rsidR="00593BFB" w:rsidRPr="00593BFB" w:rsidRDefault="00593BFB" w:rsidP="00593BFB">
            <w:pPr>
              <w:tabs>
                <w:tab w:val="left" w:pos="270"/>
                <w:tab w:val="left" w:pos="900"/>
              </w:tabs>
              <w:contextualSpacing/>
              <w:jc w:val="center"/>
              <w:rPr>
                <w:rFonts w:ascii="Calibri" w:hAnsi="Calibri"/>
              </w:rPr>
            </w:pPr>
            <w:r w:rsidRPr="008D630E">
              <w:rPr>
                <w:rFonts w:ascii="Calibri" w:hAnsi="Calibri"/>
              </w:rPr>
              <w:t xml:space="preserve">Michael Semanco, </w:t>
            </w:r>
            <w:proofErr w:type="spellStart"/>
            <w:r w:rsidRPr="008D630E">
              <w:rPr>
                <w:rFonts w:ascii="Calibri" w:hAnsi="Calibri"/>
              </w:rPr>
              <w:t>Pharm</w:t>
            </w:r>
            <w:r>
              <w:rPr>
                <w:rFonts w:ascii="Calibri" w:hAnsi="Calibri"/>
              </w:rPr>
              <w:t>.</w:t>
            </w:r>
            <w:r w:rsidRPr="008D630E">
              <w:rPr>
                <w:rFonts w:ascii="Calibri" w:hAnsi="Calibri"/>
              </w:rPr>
              <w:t>D</w:t>
            </w:r>
            <w:proofErr w:type="spellEnd"/>
            <w:r>
              <w:rPr>
                <w:rFonts w:ascii="Calibri" w:hAnsi="Calibri"/>
              </w:rPr>
              <w:t>.</w:t>
            </w:r>
            <w:r w:rsidRPr="008D630E">
              <w:rPr>
                <w:rFonts w:ascii="Calibri" w:hAnsi="Calibri"/>
              </w:rPr>
              <w:t>, BCPS</w:t>
            </w:r>
            <w:r>
              <w:rPr>
                <w:rFonts w:ascii="Calibri" w:hAnsi="Calibri"/>
              </w:rPr>
              <w:t>, BCCCP</w:t>
            </w:r>
          </w:p>
        </w:tc>
        <w:tc>
          <w:tcPr>
            <w:tcW w:w="5850" w:type="dxa"/>
            <w:tcBorders>
              <w:top w:val="single" w:sz="4" w:space="0" w:color="auto"/>
              <w:bottom w:val="single" w:sz="4" w:space="0" w:color="auto"/>
            </w:tcBorders>
            <w:shd w:val="clear" w:color="auto" w:fill="auto"/>
          </w:tcPr>
          <w:p w:rsidR="00593BFB" w:rsidRDefault="00332E9E" w:rsidP="007C3726">
            <w:pPr>
              <w:contextualSpacing/>
              <w:rPr>
                <w:rFonts w:ascii="Calibri" w:hAnsi="Calibri"/>
              </w:rPr>
            </w:pPr>
            <w:r>
              <w:rPr>
                <w:rFonts w:ascii="Calibri" w:hAnsi="Calibri"/>
              </w:rPr>
              <w:t xml:space="preserve">The Critical Care experience is designed to focus on the management of critically ill medical patients. The resident will assimilate </w:t>
            </w:r>
            <w:r w:rsidR="00AA6F01">
              <w:rPr>
                <w:rFonts w:ascii="Calibri" w:hAnsi="Calibri"/>
              </w:rPr>
              <w:t xml:space="preserve">into the multidisciplinary team, participate in daily rounds, </w:t>
            </w:r>
            <w:r>
              <w:rPr>
                <w:rFonts w:ascii="Calibri" w:hAnsi="Calibri"/>
              </w:rPr>
              <w:t xml:space="preserve">and is expected to be a resource for other pharmacists, physicians, nurses, respiratory therapists, dieticians, </w:t>
            </w:r>
            <w:proofErr w:type="spellStart"/>
            <w:r>
              <w:rPr>
                <w:rFonts w:ascii="Calibri" w:hAnsi="Calibri"/>
              </w:rPr>
              <w:t>etc</w:t>
            </w:r>
            <w:proofErr w:type="spellEnd"/>
            <w:r>
              <w:rPr>
                <w:rFonts w:ascii="Calibri" w:hAnsi="Calibri"/>
              </w:rPr>
              <w:t xml:space="preserve"> on a daily basis. The resident will work throughout the month to assume full </w:t>
            </w:r>
            <w:proofErr w:type="spellStart"/>
            <w:r>
              <w:rPr>
                <w:rFonts w:ascii="Calibri" w:hAnsi="Calibri"/>
              </w:rPr>
              <w:t>pharmacoth</w:t>
            </w:r>
            <w:r w:rsidR="008B5BF1">
              <w:rPr>
                <w:rFonts w:ascii="Calibri" w:hAnsi="Calibri"/>
              </w:rPr>
              <w:t>erapeutic</w:t>
            </w:r>
            <w:proofErr w:type="spellEnd"/>
            <w:r w:rsidR="008B5BF1">
              <w:rPr>
                <w:rFonts w:ascii="Calibri" w:hAnsi="Calibri"/>
              </w:rPr>
              <w:t xml:space="preserve"> responsibility of assigned </w:t>
            </w:r>
            <w:r>
              <w:rPr>
                <w:rFonts w:ascii="Calibri" w:hAnsi="Calibri"/>
              </w:rPr>
              <w:t xml:space="preserve">patients </w:t>
            </w:r>
            <w:r w:rsidR="008B5BF1">
              <w:rPr>
                <w:rFonts w:ascii="Calibri" w:hAnsi="Calibri"/>
              </w:rPr>
              <w:t>32 beds in the Medical ICU (32 beds).</w:t>
            </w:r>
            <w:r>
              <w:rPr>
                <w:rFonts w:ascii="Calibri" w:hAnsi="Calibri"/>
              </w:rPr>
              <w:t xml:space="preserve"> Patient care and assigned topics include: cardiogenic shock, sepsis and septic shock, targeted temperature management, acute coronary syndromes, pulmonary embolism, endocarditis, meningitis, ventilator management, and adrenal crises. </w:t>
            </w:r>
          </w:p>
          <w:p w:rsidR="00FD6BCD" w:rsidRPr="008D630E" w:rsidRDefault="00FD6BCD" w:rsidP="007C3726">
            <w:pPr>
              <w:contextualSpacing/>
              <w:rPr>
                <w:rFonts w:ascii="Calibri" w:hAnsi="Calibri"/>
              </w:rPr>
            </w:pPr>
          </w:p>
        </w:tc>
      </w:tr>
      <w:tr w:rsidR="00593BFB" w:rsidRPr="008D630E" w:rsidTr="00F90D8D">
        <w:trPr>
          <w:cantSplit/>
          <w:trHeight w:val="287"/>
          <w:jc w:val="center"/>
        </w:trPr>
        <w:tc>
          <w:tcPr>
            <w:tcW w:w="3708" w:type="dxa"/>
            <w:tcBorders>
              <w:top w:val="single" w:sz="4" w:space="0" w:color="auto"/>
            </w:tcBorders>
            <w:shd w:val="clear" w:color="auto" w:fill="auto"/>
            <w:vAlign w:val="center"/>
          </w:tcPr>
          <w:p w:rsidR="00593BFB" w:rsidRDefault="00977EC5" w:rsidP="00DB0BF2">
            <w:pPr>
              <w:tabs>
                <w:tab w:val="left" w:pos="270"/>
                <w:tab w:val="left" w:pos="900"/>
              </w:tabs>
              <w:contextualSpacing/>
              <w:jc w:val="center"/>
              <w:rPr>
                <w:rFonts w:ascii="Calibri" w:hAnsi="Calibri"/>
                <w:b/>
              </w:rPr>
            </w:pPr>
            <w:r>
              <w:rPr>
                <w:rFonts w:ascii="Calibri" w:hAnsi="Calibri"/>
                <w:b/>
              </w:rPr>
              <w:t xml:space="preserve">Orientation </w:t>
            </w:r>
          </w:p>
          <w:p w:rsidR="00977EC5" w:rsidRDefault="00977EC5" w:rsidP="00DB0BF2">
            <w:pPr>
              <w:tabs>
                <w:tab w:val="left" w:pos="270"/>
                <w:tab w:val="left" w:pos="900"/>
              </w:tabs>
              <w:contextualSpacing/>
              <w:jc w:val="center"/>
              <w:rPr>
                <w:rFonts w:ascii="Calibri" w:hAnsi="Calibri"/>
              </w:rPr>
            </w:pPr>
            <w:r>
              <w:rPr>
                <w:rFonts w:ascii="Calibri" w:hAnsi="Calibri"/>
              </w:rPr>
              <w:t xml:space="preserve">Required, 3 weeks </w:t>
            </w:r>
          </w:p>
          <w:p w:rsidR="00977EC5" w:rsidRPr="00977EC5" w:rsidRDefault="00977EC5" w:rsidP="00977EC5">
            <w:pPr>
              <w:tabs>
                <w:tab w:val="left" w:pos="270"/>
                <w:tab w:val="left" w:pos="900"/>
              </w:tabs>
              <w:contextualSpacing/>
              <w:rPr>
                <w:rFonts w:ascii="Calibri" w:hAnsi="Calibri"/>
              </w:rPr>
            </w:pPr>
          </w:p>
        </w:tc>
        <w:tc>
          <w:tcPr>
            <w:tcW w:w="5850" w:type="dxa"/>
            <w:tcBorders>
              <w:top w:val="single" w:sz="4" w:space="0" w:color="auto"/>
            </w:tcBorders>
            <w:shd w:val="clear" w:color="auto" w:fill="auto"/>
          </w:tcPr>
          <w:p w:rsidR="00593BFB" w:rsidRDefault="00474E4B" w:rsidP="00474E4B">
            <w:pPr>
              <w:contextualSpacing/>
              <w:rPr>
                <w:rFonts w:ascii="Calibri" w:hAnsi="Calibri" w:cs="Calibri"/>
              </w:rPr>
            </w:pPr>
            <w:r>
              <w:rPr>
                <w:rFonts w:ascii="Calibri" w:hAnsi="Calibri" w:cs="Calibri"/>
              </w:rPr>
              <w:t xml:space="preserve">The resident will spend time in central pharmacy and the sterile products preparation areas to learn the responsibilities and distribution process. The resident will also undergo Cerner training, gain exposure to LRH inpatient formulary, P&amp;T approved pharmacy protocols, and order verification problem resolution. Throughout this experience the resident will participate in the discussion of various clinical topics and begin working on required MUE and research projects. </w:t>
            </w:r>
          </w:p>
          <w:p w:rsidR="00FD6BCD" w:rsidRPr="00474E4B" w:rsidRDefault="00FD6BCD" w:rsidP="00474E4B">
            <w:pPr>
              <w:contextualSpacing/>
              <w:rPr>
                <w:rFonts w:ascii="Calibri" w:hAnsi="Calibri" w:cs="Calibri"/>
              </w:rPr>
            </w:pPr>
          </w:p>
        </w:tc>
      </w:tr>
      <w:tr w:rsidR="00593BFB" w:rsidRPr="008D630E" w:rsidTr="00F90D8D">
        <w:trPr>
          <w:cantSplit/>
          <w:trHeight w:val="287"/>
          <w:jc w:val="center"/>
        </w:trPr>
        <w:tc>
          <w:tcPr>
            <w:tcW w:w="3708" w:type="dxa"/>
            <w:tcBorders>
              <w:top w:val="single" w:sz="4" w:space="0" w:color="auto"/>
              <w:bottom w:val="single" w:sz="4" w:space="0" w:color="auto"/>
            </w:tcBorders>
            <w:shd w:val="clear" w:color="auto" w:fill="auto"/>
            <w:vAlign w:val="center"/>
          </w:tcPr>
          <w:p w:rsidR="00593BFB" w:rsidRDefault="00977EC5" w:rsidP="00DB0BF2">
            <w:pPr>
              <w:tabs>
                <w:tab w:val="left" w:pos="270"/>
                <w:tab w:val="left" w:pos="900"/>
              </w:tabs>
              <w:contextualSpacing/>
              <w:jc w:val="center"/>
              <w:rPr>
                <w:rFonts w:ascii="Calibri" w:hAnsi="Calibri"/>
                <w:b/>
              </w:rPr>
            </w:pPr>
            <w:r>
              <w:rPr>
                <w:rFonts w:ascii="Calibri" w:hAnsi="Calibri"/>
                <w:b/>
              </w:rPr>
              <w:lastRenderedPageBreak/>
              <w:t>Pediatric Emergency Medicine I</w:t>
            </w:r>
          </w:p>
          <w:p w:rsidR="00977EC5" w:rsidRDefault="00977EC5" w:rsidP="00DB0BF2">
            <w:pPr>
              <w:tabs>
                <w:tab w:val="left" w:pos="270"/>
                <w:tab w:val="left" w:pos="900"/>
              </w:tabs>
              <w:contextualSpacing/>
              <w:jc w:val="center"/>
              <w:rPr>
                <w:rFonts w:ascii="Calibri" w:hAnsi="Calibri"/>
              </w:rPr>
            </w:pPr>
            <w:r>
              <w:rPr>
                <w:rFonts w:ascii="Calibri" w:hAnsi="Calibri"/>
              </w:rPr>
              <w:t xml:space="preserve">Required, 1 month </w:t>
            </w:r>
          </w:p>
          <w:p w:rsidR="00977EC5" w:rsidRDefault="00977EC5" w:rsidP="00DB0BF2">
            <w:pPr>
              <w:tabs>
                <w:tab w:val="left" w:pos="270"/>
                <w:tab w:val="left" w:pos="900"/>
              </w:tabs>
              <w:contextualSpacing/>
              <w:jc w:val="center"/>
              <w:rPr>
                <w:rFonts w:ascii="Calibri" w:hAnsi="Calibri"/>
              </w:rPr>
            </w:pPr>
          </w:p>
          <w:p w:rsidR="00977EC5" w:rsidRDefault="00977EC5" w:rsidP="00DB0BF2">
            <w:pPr>
              <w:tabs>
                <w:tab w:val="left" w:pos="270"/>
                <w:tab w:val="left" w:pos="900"/>
              </w:tabs>
              <w:contextualSpacing/>
              <w:jc w:val="center"/>
              <w:rPr>
                <w:rFonts w:ascii="Calibri" w:hAnsi="Calibri"/>
              </w:rPr>
            </w:pPr>
            <w:r>
              <w:rPr>
                <w:rFonts w:ascii="Calibri" w:hAnsi="Calibri"/>
              </w:rPr>
              <w:t>Wendy Bailey, Pharm.D.</w:t>
            </w:r>
          </w:p>
          <w:p w:rsidR="00977EC5" w:rsidRPr="00977EC5" w:rsidRDefault="00977EC5" w:rsidP="00977EC5">
            <w:pPr>
              <w:tabs>
                <w:tab w:val="left" w:pos="270"/>
                <w:tab w:val="left" w:pos="900"/>
              </w:tabs>
              <w:contextualSpacing/>
              <w:jc w:val="center"/>
              <w:rPr>
                <w:rFonts w:ascii="Calibri" w:hAnsi="Calibri"/>
              </w:rPr>
            </w:pPr>
          </w:p>
        </w:tc>
        <w:tc>
          <w:tcPr>
            <w:tcW w:w="5850" w:type="dxa"/>
            <w:tcBorders>
              <w:top w:val="single" w:sz="4" w:space="0" w:color="auto"/>
              <w:bottom w:val="single" w:sz="4" w:space="0" w:color="auto"/>
            </w:tcBorders>
            <w:shd w:val="clear" w:color="auto" w:fill="auto"/>
          </w:tcPr>
          <w:p w:rsidR="00593BFB" w:rsidRDefault="00F121F3" w:rsidP="007C3726">
            <w:pPr>
              <w:contextualSpacing/>
              <w:rPr>
                <w:rFonts w:ascii="Calibri" w:hAnsi="Calibri"/>
              </w:rPr>
            </w:pPr>
            <w:r>
              <w:rPr>
                <w:rFonts w:ascii="Calibri" w:hAnsi="Calibri"/>
              </w:rPr>
              <w:t>The pediatric EM I rotation is a required rotation that will allow the resident to gain exposure to the management of pediatric emergencies. The resident will staff solely in the pediatric emerg</w:t>
            </w:r>
            <w:r w:rsidR="00241A29">
              <w:rPr>
                <w:rFonts w:ascii="Calibri" w:hAnsi="Calibri"/>
              </w:rPr>
              <w:t>ency department, which houses 33 beds including 3</w:t>
            </w:r>
            <w:r>
              <w:rPr>
                <w:rFonts w:ascii="Calibri" w:hAnsi="Calibri"/>
              </w:rPr>
              <w:t xml:space="preserve"> resuscitation beds. Patient care and assigned topics include: age-specific dosing recommendations, febrile seizures, pertussis, RSV, PALS, and pediatric trauma. </w:t>
            </w:r>
          </w:p>
          <w:p w:rsidR="00FD6BCD" w:rsidRPr="008D630E" w:rsidRDefault="00FD6BCD" w:rsidP="007C3726">
            <w:pPr>
              <w:contextualSpacing/>
              <w:rPr>
                <w:rFonts w:ascii="Calibri" w:hAnsi="Calibri"/>
              </w:rPr>
            </w:pPr>
          </w:p>
        </w:tc>
      </w:tr>
      <w:tr w:rsidR="00593BFB" w:rsidRPr="008D630E" w:rsidTr="00F90D8D">
        <w:trPr>
          <w:cantSplit/>
          <w:trHeight w:val="287"/>
          <w:jc w:val="center"/>
        </w:trPr>
        <w:tc>
          <w:tcPr>
            <w:tcW w:w="3708" w:type="dxa"/>
            <w:tcBorders>
              <w:top w:val="single" w:sz="4" w:space="0" w:color="auto"/>
            </w:tcBorders>
            <w:shd w:val="clear" w:color="auto" w:fill="auto"/>
            <w:vAlign w:val="center"/>
          </w:tcPr>
          <w:p w:rsidR="00593BFB" w:rsidRDefault="00977EC5" w:rsidP="00DB0BF2">
            <w:pPr>
              <w:tabs>
                <w:tab w:val="left" w:pos="270"/>
                <w:tab w:val="left" w:pos="900"/>
              </w:tabs>
              <w:contextualSpacing/>
              <w:jc w:val="center"/>
              <w:rPr>
                <w:rFonts w:ascii="Calibri" w:hAnsi="Calibri"/>
                <w:b/>
              </w:rPr>
            </w:pPr>
            <w:r>
              <w:rPr>
                <w:rFonts w:ascii="Calibri" w:hAnsi="Calibri"/>
                <w:b/>
              </w:rPr>
              <w:t xml:space="preserve">Trauma </w:t>
            </w:r>
          </w:p>
          <w:p w:rsidR="00977EC5" w:rsidRDefault="00977EC5" w:rsidP="00DB0BF2">
            <w:pPr>
              <w:tabs>
                <w:tab w:val="left" w:pos="270"/>
                <w:tab w:val="left" w:pos="900"/>
              </w:tabs>
              <w:contextualSpacing/>
              <w:jc w:val="center"/>
              <w:rPr>
                <w:rFonts w:ascii="Calibri" w:hAnsi="Calibri"/>
              </w:rPr>
            </w:pPr>
            <w:r>
              <w:rPr>
                <w:rFonts w:ascii="Calibri" w:hAnsi="Calibri"/>
              </w:rPr>
              <w:t xml:space="preserve">Required, 1 month </w:t>
            </w:r>
          </w:p>
          <w:p w:rsidR="00977EC5" w:rsidRDefault="00977EC5" w:rsidP="00DB0BF2">
            <w:pPr>
              <w:tabs>
                <w:tab w:val="left" w:pos="270"/>
                <w:tab w:val="left" w:pos="900"/>
              </w:tabs>
              <w:contextualSpacing/>
              <w:jc w:val="center"/>
              <w:rPr>
                <w:rFonts w:ascii="Calibri" w:hAnsi="Calibri"/>
              </w:rPr>
            </w:pPr>
          </w:p>
          <w:p w:rsidR="00977EC5" w:rsidRDefault="00977EC5" w:rsidP="00977EC5">
            <w:pPr>
              <w:tabs>
                <w:tab w:val="left" w:pos="270"/>
                <w:tab w:val="left" w:pos="900"/>
              </w:tabs>
              <w:contextualSpacing/>
              <w:jc w:val="center"/>
              <w:rPr>
                <w:rFonts w:ascii="Calibri" w:hAnsi="Calibri"/>
              </w:rPr>
            </w:pPr>
            <w:r w:rsidRPr="008D630E">
              <w:rPr>
                <w:rFonts w:ascii="Calibri" w:hAnsi="Calibri"/>
              </w:rPr>
              <w:t>Jennifer Montero, Pharm</w:t>
            </w:r>
            <w:r>
              <w:rPr>
                <w:rFonts w:ascii="Calibri" w:hAnsi="Calibri"/>
              </w:rPr>
              <w:t>.</w:t>
            </w:r>
            <w:r w:rsidRPr="008D630E">
              <w:rPr>
                <w:rFonts w:ascii="Calibri" w:hAnsi="Calibri"/>
              </w:rPr>
              <w:t>D</w:t>
            </w:r>
            <w:r>
              <w:rPr>
                <w:rFonts w:ascii="Calibri" w:hAnsi="Calibri"/>
              </w:rPr>
              <w:t>.</w:t>
            </w:r>
            <w:r w:rsidRPr="008D630E">
              <w:rPr>
                <w:rFonts w:ascii="Calibri" w:hAnsi="Calibri"/>
              </w:rPr>
              <w:t>, BCPS</w:t>
            </w:r>
            <w:r>
              <w:rPr>
                <w:rFonts w:ascii="Calibri" w:hAnsi="Calibri"/>
              </w:rPr>
              <w:t>, BCCCP</w:t>
            </w:r>
          </w:p>
          <w:p w:rsidR="00977EC5" w:rsidRPr="008D630E" w:rsidRDefault="00977EC5" w:rsidP="00977EC5">
            <w:pPr>
              <w:tabs>
                <w:tab w:val="left" w:pos="270"/>
                <w:tab w:val="left" w:pos="900"/>
              </w:tabs>
              <w:contextualSpacing/>
              <w:jc w:val="center"/>
              <w:rPr>
                <w:rFonts w:ascii="Calibri" w:hAnsi="Calibri"/>
              </w:rPr>
            </w:pPr>
            <w:r w:rsidRPr="008D630E">
              <w:rPr>
                <w:rFonts w:ascii="Calibri" w:hAnsi="Calibri"/>
              </w:rPr>
              <w:t xml:space="preserve">Rebecca </w:t>
            </w:r>
            <w:r>
              <w:rPr>
                <w:rFonts w:ascii="Calibri" w:hAnsi="Calibri"/>
              </w:rPr>
              <w:t>Rich</w:t>
            </w:r>
            <w:r w:rsidRPr="008D630E">
              <w:rPr>
                <w:rFonts w:ascii="Calibri" w:hAnsi="Calibri"/>
              </w:rPr>
              <w:t>, Pharm</w:t>
            </w:r>
            <w:r>
              <w:rPr>
                <w:rFonts w:ascii="Calibri" w:hAnsi="Calibri"/>
              </w:rPr>
              <w:t>.</w:t>
            </w:r>
            <w:r w:rsidRPr="008D630E">
              <w:rPr>
                <w:rFonts w:ascii="Calibri" w:hAnsi="Calibri"/>
              </w:rPr>
              <w:t>D</w:t>
            </w:r>
            <w:r>
              <w:rPr>
                <w:rFonts w:ascii="Calibri" w:hAnsi="Calibri"/>
              </w:rPr>
              <w:t>.</w:t>
            </w:r>
            <w:r w:rsidRPr="008D630E">
              <w:rPr>
                <w:rFonts w:ascii="Calibri" w:hAnsi="Calibri"/>
              </w:rPr>
              <w:t>, BCPS</w:t>
            </w:r>
            <w:r>
              <w:rPr>
                <w:rFonts w:ascii="Calibri" w:hAnsi="Calibri"/>
              </w:rPr>
              <w:t>, BCCCP</w:t>
            </w:r>
            <w:r w:rsidR="00F90D8D">
              <w:rPr>
                <w:rFonts w:ascii="Calibri" w:hAnsi="Calibri"/>
              </w:rPr>
              <w:t>, FCCM</w:t>
            </w:r>
          </w:p>
          <w:p w:rsidR="00977EC5" w:rsidRPr="00977EC5" w:rsidRDefault="00977EC5" w:rsidP="00977EC5">
            <w:pPr>
              <w:tabs>
                <w:tab w:val="left" w:pos="270"/>
                <w:tab w:val="left" w:pos="900"/>
              </w:tabs>
              <w:contextualSpacing/>
              <w:jc w:val="center"/>
              <w:rPr>
                <w:rFonts w:ascii="Calibri" w:hAnsi="Calibri"/>
              </w:rPr>
            </w:pPr>
            <w:r w:rsidRPr="008D630E">
              <w:rPr>
                <w:rFonts w:ascii="Calibri" w:hAnsi="Calibri"/>
              </w:rPr>
              <w:t>Michael Semanco, Pharm</w:t>
            </w:r>
            <w:r>
              <w:rPr>
                <w:rFonts w:ascii="Calibri" w:hAnsi="Calibri"/>
              </w:rPr>
              <w:t>.</w:t>
            </w:r>
            <w:r w:rsidRPr="008D630E">
              <w:rPr>
                <w:rFonts w:ascii="Calibri" w:hAnsi="Calibri"/>
              </w:rPr>
              <w:t>D</w:t>
            </w:r>
            <w:r>
              <w:rPr>
                <w:rFonts w:ascii="Calibri" w:hAnsi="Calibri"/>
              </w:rPr>
              <w:t>.</w:t>
            </w:r>
            <w:r w:rsidRPr="008D630E">
              <w:rPr>
                <w:rFonts w:ascii="Calibri" w:hAnsi="Calibri"/>
              </w:rPr>
              <w:t>, BCPS</w:t>
            </w:r>
            <w:r>
              <w:rPr>
                <w:rFonts w:ascii="Calibri" w:hAnsi="Calibri"/>
              </w:rPr>
              <w:t>, BCCCP</w:t>
            </w:r>
          </w:p>
        </w:tc>
        <w:tc>
          <w:tcPr>
            <w:tcW w:w="5850" w:type="dxa"/>
            <w:tcBorders>
              <w:top w:val="single" w:sz="4" w:space="0" w:color="auto"/>
            </w:tcBorders>
            <w:shd w:val="clear" w:color="auto" w:fill="auto"/>
          </w:tcPr>
          <w:p w:rsidR="00593BFB" w:rsidRDefault="00AA6F01" w:rsidP="008D42D9">
            <w:pPr>
              <w:contextualSpacing/>
              <w:rPr>
                <w:rFonts w:ascii="Calibri" w:hAnsi="Calibri"/>
              </w:rPr>
            </w:pPr>
            <w:r>
              <w:rPr>
                <w:rFonts w:ascii="Calibri" w:hAnsi="Calibri"/>
              </w:rPr>
              <w:t>The trauma experience is designed to focus on the management of critically ill trauma patients. The resident will assimilate into the multidisciplinary team, participate in daily rounds, and will take trauma call approximately three nights per week until 0200. The rotation is built around a “door to door” experience,</w:t>
            </w:r>
            <w:r w:rsidR="008D42D9">
              <w:rPr>
                <w:rFonts w:ascii="Calibri" w:hAnsi="Calibri"/>
              </w:rPr>
              <w:t xml:space="preserve"> to emphasize the importance of </w:t>
            </w:r>
            <w:r>
              <w:rPr>
                <w:rFonts w:ascii="Calibri" w:hAnsi="Calibri"/>
              </w:rPr>
              <w:t>transitions</w:t>
            </w:r>
            <w:r w:rsidR="008D42D9">
              <w:rPr>
                <w:rFonts w:ascii="Calibri" w:hAnsi="Calibri"/>
              </w:rPr>
              <w:t xml:space="preserve"> of care in</w:t>
            </w:r>
            <w:r>
              <w:rPr>
                <w:rFonts w:ascii="Calibri" w:hAnsi="Calibri"/>
              </w:rPr>
              <w:t xml:space="preserve"> the trauma population. Patient care and assigned topics include: hemorrhagic shock / blood components, drug abuse / withdrawal, ETOH withdrawal, traumatic brain injury, SAH/SDH/ICH, hyponatremia, neuromuscular blockers, and pain, agitation, and delirium. </w:t>
            </w:r>
          </w:p>
          <w:p w:rsidR="00FD6BCD" w:rsidRPr="008D630E" w:rsidRDefault="00FD6BCD" w:rsidP="008D42D9">
            <w:pPr>
              <w:contextualSpacing/>
              <w:rPr>
                <w:rFonts w:ascii="Calibri" w:hAnsi="Calibri"/>
              </w:rPr>
            </w:pPr>
          </w:p>
        </w:tc>
      </w:tr>
      <w:tr w:rsidR="00977EC5" w:rsidRPr="008D630E" w:rsidTr="00F90D8D">
        <w:trPr>
          <w:cantSplit/>
          <w:trHeight w:val="377"/>
          <w:jc w:val="center"/>
        </w:trPr>
        <w:tc>
          <w:tcPr>
            <w:tcW w:w="95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7EC5" w:rsidRPr="008D630E" w:rsidRDefault="00977EC5" w:rsidP="00977EC5">
            <w:pPr>
              <w:contextualSpacing/>
              <w:jc w:val="center"/>
              <w:rPr>
                <w:rFonts w:ascii="Calibri" w:hAnsi="Calibri"/>
              </w:rPr>
            </w:pPr>
            <w:bookmarkStart w:id="0" w:name="_GoBack"/>
            <w:bookmarkEnd w:id="0"/>
            <w:r w:rsidRPr="008D630E">
              <w:rPr>
                <w:rFonts w:ascii="Calibri" w:hAnsi="Calibri"/>
                <w:b/>
                <w:sz w:val="22"/>
                <w:szCs w:val="22"/>
              </w:rPr>
              <w:t xml:space="preserve">Required </w:t>
            </w:r>
            <w:r w:rsidRPr="00977EC5">
              <w:rPr>
                <w:rFonts w:ascii="Calibri" w:hAnsi="Calibri"/>
                <w:b/>
                <w:sz w:val="22"/>
                <w:szCs w:val="22"/>
              </w:rPr>
              <w:t>Longitudinal Learning Experiences</w:t>
            </w:r>
          </w:p>
        </w:tc>
      </w:tr>
      <w:tr w:rsidR="00F90D8D" w:rsidRPr="008D630E" w:rsidTr="00241A29">
        <w:trPr>
          <w:cantSplit/>
          <w:trHeight w:val="287"/>
          <w:jc w:val="center"/>
        </w:trPr>
        <w:tc>
          <w:tcPr>
            <w:tcW w:w="3708" w:type="dxa"/>
            <w:tcBorders>
              <w:top w:val="single" w:sz="4" w:space="0" w:color="auto"/>
            </w:tcBorders>
            <w:shd w:val="clear" w:color="auto" w:fill="auto"/>
            <w:vAlign w:val="center"/>
          </w:tcPr>
          <w:p w:rsidR="00F90D8D" w:rsidRPr="008D630E" w:rsidRDefault="00F90D8D" w:rsidP="00F90D8D">
            <w:pPr>
              <w:tabs>
                <w:tab w:val="left" w:pos="270"/>
                <w:tab w:val="left" w:pos="900"/>
              </w:tabs>
              <w:contextualSpacing/>
              <w:jc w:val="center"/>
              <w:rPr>
                <w:rFonts w:ascii="Calibri" w:hAnsi="Calibri"/>
                <w:b/>
              </w:rPr>
            </w:pPr>
            <w:r>
              <w:rPr>
                <w:rFonts w:ascii="Calibri" w:hAnsi="Calibri"/>
                <w:b/>
              </w:rPr>
              <w:t>Pre-Hospital</w:t>
            </w:r>
          </w:p>
        </w:tc>
        <w:tc>
          <w:tcPr>
            <w:tcW w:w="5850" w:type="dxa"/>
            <w:tcBorders>
              <w:top w:val="single" w:sz="4" w:space="0" w:color="auto"/>
            </w:tcBorders>
            <w:shd w:val="clear" w:color="auto" w:fill="auto"/>
          </w:tcPr>
          <w:p w:rsidR="00F90D8D" w:rsidRDefault="00F90D8D" w:rsidP="00F90D8D">
            <w:pPr>
              <w:contextualSpacing/>
              <w:rPr>
                <w:rFonts w:ascii="Calibri" w:hAnsi="Calibri"/>
              </w:rPr>
            </w:pPr>
            <w:r>
              <w:rPr>
                <w:rFonts w:ascii="Calibri" w:hAnsi="Calibri"/>
              </w:rPr>
              <w:t xml:space="preserve">Pre-hospital medicine </w:t>
            </w:r>
            <w:r w:rsidRPr="005116F7">
              <w:rPr>
                <w:rFonts w:ascii="Calibri" w:hAnsi="Calibri"/>
              </w:rPr>
              <w:t>is a longitudinal requirement encompassin</w:t>
            </w:r>
            <w:r>
              <w:rPr>
                <w:rFonts w:ascii="Calibri" w:hAnsi="Calibri"/>
              </w:rPr>
              <w:t xml:space="preserve">g all experience with local fire department and EMS </w:t>
            </w:r>
            <w:r w:rsidRPr="005116F7">
              <w:rPr>
                <w:rFonts w:ascii="Calibri" w:hAnsi="Calibri"/>
              </w:rPr>
              <w:t xml:space="preserve">personnel. The purpose of this learning experience is to provide the resident with ample opportunities to gain experience in understanding the unique pre-hospital environment and their </w:t>
            </w:r>
            <w:proofErr w:type="spellStart"/>
            <w:r w:rsidRPr="005116F7">
              <w:rPr>
                <w:rFonts w:ascii="Calibri" w:hAnsi="Calibri"/>
              </w:rPr>
              <w:t>protocolized</w:t>
            </w:r>
            <w:proofErr w:type="spellEnd"/>
            <w:r w:rsidRPr="005116F7">
              <w:rPr>
                <w:rFonts w:ascii="Calibri" w:hAnsi="Calibri"/>
              </w:rPr>
              <w:t xml:space="preserve"> approach to providing emergency care.</w:t>
            </w:r>
            <w:r>
              <w:rPr>
                <w:rFonts w:ascii="Calibri" w:hAnsi="Calibri"/>
              </w:rPr>
              <w:t xml:space="preserve"> The resident will participate in at least two hands-on “ride along” experiences and participate in an educational session with new-hire paramedic personnel. </w:t>
            </w:r>
          </w:p>
          <w:p w:rsidR="00F90D8D" w:rsidRPr="008D630E" w:rsidRDefault="00F90D8D" w:rsidP="00F90D8D">
            <w:pPr>
              <w:contextualSpacing/>
              <w:rPr>
                <w:rFonts w:ascii="Calibri" w:hAnsi="Calibri"/>
              </w:rPr>
            </w:pPr>
          </w:p>
        </w:tc>
      </w:tr>
      <w:tr w:rsidR="00F90D8D" w:rsidRPr="008D630E" w:rsidTr="00241A29">
        <w:trPr>
          <w:cantSplit/>
          <w:trHeight w:val="287"/>
          <w:jc w:val="center"/>
        </w:trPr>
        <w:tc>
          <w:tcPr>
            <w:tcW w:w="3708" w:type="dxa"/>
            <w:tcBorders>
              <w:top w:val="single" w:sz="4" w:space="0" w:color="auto"/>
            </w:tcBorders>
            <w:shd w:val="clear" w:color="auto" w:fill="auto"/>
            <w:vAlign w:val="center"/>
          </w:tcPr>
          <w:p w:rsidR="00F90D8D" w:rsidRPr="008D630E" w:rsidRDefault="00F90D8D" w:rsidP="00F90D8D">
            <w:pPr>
              <w:tabs>
                <w:tab w:val="left" w:pos="270"/>
                <w:tab w:val="left" w:pos="900"/>
              </w:tabs>
              <w:contextualSpacing/>
              <w:jc w:val="center"/>
              <w:rPr>
                <w:rFonts w:ascii="Calibri" w:hAnsi="Calibri"/>
                <w:b/>
              </w:rPr>
            </w:pPr>
            <w:r>
              <w:rPr>
                <w:rFonts w:ascii="Calibri" w:hAnsi="Calibri"/>
                <w:b/>
              </w:rPr>
              <w:t>Presentations</w:t>
            </w:r>
          </w:p>
        </w:tc>
        <w:tc>
          <w:tcPr>
            <w:tcW w:w="5850" w:type="dxa"/>
            <w:tcBorders>
              <w:top w:val="single" w:sz="4" w:space="0" w:color="auto"/>
            </w:tcBorders>
            <w:shd w:val="clear" w:color="auto" w:fill="auto"/>
          </w:tcPr>
          <w:p w:rsidR="00F90D8D" w:rsidRDefault="00F90D8D" w:rsidP="00F90D8D">
            <w:pPr>
              <w:contextualSpacing/>
              <w:rPr>
                <w:rFonts w:ascii="Calibri" w:hAnsi="Calibri"/>
              </w:rPr>
            </w:pPr>
            <w:r>
              <w:rPr>
                <w:rFonts w:ascii="Calibri" w:hAnsi="Calibri"/>
              </w:rPr>
              <w:t xml:space="preserve">This is a longitudinal experience encompassing all formal presentations required throughout the program. The resident will present three patient case presentations, participate in two debate sessions, one continuing education seminar, one monograph or drug class review, and one technician continuing education seminar. The resident will present their research project formally at the Florida Residency Conference and their MUE at ASHP Midyear Residency Showcase. </w:t>
            </w:r>
          </w:p>
          <w:p w:rsidR="00F90D8D" w:rsidRPr="008D630E" w:rsidRDefault="00F90D8D" w:rsidP="00F90D8D">
            <w:pPr>
              <w:contextualSpacing/>
              <w:rPr>
                <w:rFonts w:ascii="Calibri" w:hAnsi="Calibri"/>
              </w:rPr>
            </w:pPr>
          </w:p>
        </w:tc>
      </w:tr>
      <w:tr w:rsidR="00F90D8D" w:rsidRPr="008D630E" w:rsidTr="00241A29">
        <w:trPr>
          <w:cantSplit/>
          <w:trHeight w:val="287"/>
          <w:jc w:val="center"/>
        </w:trPr>
        <w:tc>
          <w:tcPr>
            <w:tcW w:w="3708" w:type="dxa"/>
            <w:tcBorders>
              <w:top w:val="single" w:sz="4" w:space="0" w:color="auto"/>
            </w:tcBorders>
            <w:shd w:val="clear" w:color="auto" w:fill="auto"/>
            <w:vAlign w:val="center"/>
          </w:tcPr>
          <w:p w:rsidR="00F90D8D" w:rsidRDefault="00F90D8D" w:rsidP="00F90D8D">
            <w:pPr>
              <w:tabs>
                <w:tab w:val="left" w:pos="270"/>
                <w:tab w:val="left" w:pos="900"/>
              </w:tabs>
              <w:contextualSpacing/>
              <w:jc w:val="center"/>
              <w:rPr>
                <w:rFonts w:ascii="Calibri" w:hAnsi="Calibri"/>
                <w:b/>
              </w:rPr>
            </w:pPr>
            <w:r>
              <w:rPr>
                <w:rFonts w:ascii="Calibri" w:hAnsi="Calibri"/>
                <w:b/>
              </w:rPr>
              <w:t xml:space="preserve">Professional Development </w:t>
            </w:r>
          </w:p>
        </w:tc>
        <w:tc>
          <w:tcPr>
            <w:tcW w:w="5850" w:type="dxa"/>
            <w:tcBorders>
              <w:top w:val="single" w:sz="4" w:space="0" w:color="auto"/>
            </w:tcBorders>
            <w:shd w:val="clear" w:color="auto" w:fill="auto"/>
          </w:tcPr>
          <w:p w:rsidR="00F90D8D" w:rsidRDefault="00F90D8D" w:rsidP="00F90D8D">
            <w:pPr>
              <w:contextualSpacing/>
              <w:rPr>
                <w:rFonts w:ascii="Calibri" w:hAnsi="Calibri"/>
              </w:rPr>
            </w:pPr>
            <w:r>
              <w:rPr>
                <w:rFonts w:ascii="Calibri" w:hAnsi="Calibri"/>
              </w:rPr>
              <w:t xml:space="preserve">The professional development learning experience guides the resident’s professional and personal progression throughout the PGY2 EM residency year. The resident will select a Residency Advisor who will foster the continued professional maturation of the resident and promote self-directed learning. </w:t>
            </w:r>
          </w:p>
          <w:p w:rsidR="00F90D8D" w:rsidRDefault="00F90D8D" w:rsidP="00F90D8D">
            <w:pPr>
              <w:contextualSpacing/>
              <w:rPr>
                <w:rFonts w:ascii="Calibri" w:hAnsi="Calibri"/>
              </w:rPr>
            </w:pPr>
          </w:p>
        </w:tc>
      </w:tr>
      <w:tr w:rsidR="00F90D8D" w:rsidRPr="008D630E" w:rsidTr="00241A29">
        <w:trPr>
          <w:cantSplit/>
          <w:trHeight w:val="287"/>
          <w:jc w:val="center"/>
        </w:trPr>
        <w:tc>
          <w:tcPr>
            <w:tcW w:w="3708" w:type="dxa"/>
            <w:tcBorders>
              <w:top w:val="single" w:sz="4" w:space="0" w:color="auto"/>
            </w:tcBorders>
            <w:shd w:val="clear" w:color="auto" w:fill="auto"/>
            <w:vAlign w:val="center"/>
          </w:tcPr>
          <w:p w:rsidR="00F90D8D" w:rsidRPr="008D630E" w:rsidRDefault="00F90D8D" w:rsidP="00F90D8D">
            <w:pPr>
              <w:tabs>
                <w:tab w:val="left" w:pos="270"/>
                <w:tab w:val="left" w:pos="900"/>
              </w:tabs>
              <w:contextualSpacing/>
              <w:jc w:val="center"/>
              <w:rPr>
                <w:rFonts w:ascii="Calibri" w:hAnsi="Calibri"/>
                <w:b/>
              </w:rPr>
            </w:pPr>
            <w:r>
              <w:rPr>
                <w:rFonts w:ascii="Calibri" w:hAnsi="Calibri"/>
                <w:b/>
              </w:rPr>
              <w:t>Research</w:t>
            </w:r>
          </w:p>
        </w:tc>
        <w:tc>
          <w:tcPr>
            <w:tcW w:w="5850" w:type="dxa"/>
            <w:tcBorders>
              <w:top w:val="single" w:sz="4" w:space="0" w:color="auto"/>
            </w:tcBorders>
            <w:shd w:val="clear" w:color="auto" w:fill="auto"/>
          </w:tcPr>
          <w:p w:rsidR="00F90D8D" w:rsidRPr="005116F7" w:rsidRDefault="00F90D8D" w:rsidP="00F90D8D">
            <w:pPr>
              <w:contextualSpacing/>
              <w:rPr>
                <w:rFonts w:ascii="Calibri" w:hAnsi="Calibri"/>
              </w:rPr>
            </w:pPr>
            <w:r>
              <w:rPr>
                <w:rFonts w:ascii="Calibri" w:hAnsi="Calibri"/>
              </w:rPr>
              <w:t>The research learning experience is a required longitudinal experience that will prepare the resident to successfully conduct future research and quality improvement projects. One research project and two medication use evaluations (MUE) will be conducted throughout the year according to a timeline developed by the resident and RPD.</w:t>
            </w:r>
            <w:r w:rsidRPr="005116F7">
              <w:rPr>
                <w:rFonts w:ascii="Calibri" w:hAnsi="Calibri"/>
              </w:rPr>
              <w:t xml:space="preserve"> </w:t>
            </w:r>
            <w:r>
              <w:rPr>
                <w:rFonts w:ascii="Calibri" w:hAnsi="Calibri"/>
              </w:rPr>
              <w:t xml:space="preserve">Projects will be aligned with resident interest area and the needs of the department and institution. </w:t>
            </w:r>
          </w:p>
          <w:p w:rsidR="00F90D8D" w:rsidRPr="008D630E" w:rsidRDefault="00F90D8D" w:rsidP="00F90D8D">
            <w:pPr>
              <w:contextualSpacing/>
              <w:rPr>
                <w:rFonts w:ascii="Calibri" w:hAnsi="Calibri"/>
              </w:rPr>
            </w:pPr>
          </w:p>
        </w:tc>
      </w:tr>
      <w:tr w:rsidR="00F90D8D" w:rsidRPr="008D630E" w:rsidTr="00F90D8D">
        <w:trPr>
          <w:cantSplit/>
          <w:trHeight w:val="287"/>
          <w:jc w:val="center"/>
        </w:trPr>
        <w:tc>
          <w:tcPr>
            <w:tcW w:w="3708" w:type="dxa"/>
            <w:tcBorders>
              <w:top w:val="single" w:sz="4" w:space="0" w:color="auto"/>
              <w:bottom w:val="single" w:sz="4" w:space="0" w:color="auto"/>
            </w:tcBorders>
            <w:shd w:val="clear" w:color="auto" w:fill="auto"/>
            <w:vAlign w:val="center"/>
          </w:tcPr>
          <w:p w:rsidR="00F90D8D" w:rsidRPr="008D630E" w:rsidRDefault="00F90D8D" w:rsidP="00F90D8D">
            <w:pPr>
              <w:tabs>
                <w:tab w:val="left" w:pos="270"/>
                <w:tab w:val="left" w:pos="900"/>
              </w:tabs>
              <w:contextualSpacing/>
              <w:jc w:val="center"/>
              <w:rPr>
                <w:rFonts w:ascii="Calibri" w:hAnsi="Calibri"/>
                <w:b/>
              </w:rPr>
            </w:pPr>
            <w:r>
              <w:rPr>
                <w:rFonts w:ascii="Calibri" w:hAnsi="Calibri"/>
                <w:b/>
              </w:rPr>
              <w:lastRenderedPageBreak/>
              <w:t>Staffing</w:t>
            </w:r>
          </w:p>
        </w:tc>
        <w:tc>
          <w:tcPr>
            <w:tcW w:w="5850" w:type="dxa"/>
            <w:tcBorders>
              <w:top w:val="single" w:sz="4" w:space="0" w:color="auto"/>
              <w:bottom w:val="single" w:sz="4" w:space="0" w:color="auto"/>
            </w:tcBorders>
            <w:shd w:val="clear" w:color="auto" w:fill="auto"/>
          </w:tcPr>
          <w:p w:rsidR="00F90D8D" w:rsidRDefault="00F90D8D" w:rsidP="00F90D8D">
            <w:pPr>
              <w:contextualSpacing/>
              <w:rPr>
                <w:rFonts w:ascii="Calibri" w:hAnsi="Calibri"/>
              </w:rPr>
            </w:pPr>
            <w:r>
              <w:rPr>
                <w:rFonts w:ascii="Calibri" w:hAnsi="Calibri"/>
              </w:rPr>
              <w:t xml:space="preserve">Staffing is a longitudinal experience that allows the resident to develop and demonstrate proficiency as an independent practitioner in the emergency department. </w:t>
            </w:r>
            <w:r w:rsidRPr="00245ACD">
              <w:rPr>
                <w:rFonts w:ascii="Calibri" w:hAnsi="Calibri"/>
              </w:rPr>
              <w:t xml:space="preserve">The resident is expected to manage medication therapy for all ED patients and assist in resolving medication administration related issues. The resident will maintain vigilance of ED patients and will attend and participate in all adult and pediatric cardiac arrests, trauma alerts, stroke alerts, and other emergent bedside resuscitation. </w:t>
            </w:r>
            <w:r>
              <w:rPr>
                <w:rFonts w:ascii="Calibri" w:hAnsi="Calibri"/>
              </w:rPr>
              <w:t xml:space="preserve">The resident is required to staff independently at minimum one weekend per month, (2) twelve-hour shifts, 0900-2130. During the week, while on rotation in the emergency department, the resident will work 10 hour shifts Monday through Friday. </w:t>
            </w:r>
          </w:p>
          <w:p w:rsidR="00F90D8D" w:rsidRPr="008D630E" w:rsidRDefault="00F90D8D" w:rsidP="00F90D8D">
            <w:pPr>
              <w:contextualSpacing/>
              <w:rPr>
                <w:rFonts w:ascii="Calibri" w:hAnsi="Calibri"/>
              </w:rPr>
            </w:pPr>
          </w:p>
        </w:tc>
      </w:tr>
      <w:tr w:rsidR="00F90D8D" w:rsidRPr="008D630E" w:rsidTr="00F90D8D">
        <w:trPr>
          <w:cantSplit/>
          <w:trHeight w:val="287"/>
          <w:jc w:val="center"/>
        </w:trPr>
        <w:tc>
          <w:tcPr>
            <w:tcW w:w="3708" w:type="dxa"/>
            <w:tcBorders>
              <w:top w:val="single" w:sz="4" w:space="0" w:color="auto"/>
            </w:tcBorders>
            <w:shd w:val="clear" w:color="auto" w:fill="auto"/>
            <w:vAlign w:val="center"/>
          </w:tcPr>
          <w:p w:rsidR="00F90D8D" w:rsidRDefault="00F90D8D" w:rsidP="00F90D8D">
            <w:pPr>
              <w:tabs>
                <w:tab w:val="left" w:pos="270"/>
                <w:tab w:val="left" w:pos="900"/>
              </w:tabs>
              <w:contextualSpacing/>
              <w:jc w:val="center"/>
              <w:rPr>
                <w:rFonts w:ascii="Calibri" w:hAnsi="Calibri"/>
                <w:b/>
              </w:rPr>
            </w:pPr>
            <w:r>
              <w:rPr>
                <w:rFonts w:ascii="Calibri" w:hAnsi="Calibri"/>
                <w:b/>
              </w:rPr>
              <w:t xml:space="preserve">Toxicology </w:t>
            </w:r>
          </w:p>
          <w:p w:rsidR="00F90D8D" w:rsidRDefault="00F90D8D" w:rsidP="00F90D8D">
            <w:pPr>
              <w:tabs>
                <w:tab w:val="left" w:pos="270"/>
                <w:tab w:val="left" w:pos="900"/>
              </w:tabs>
              <w:contextualSpacing/>
              <w:jc w:val="center"/>
              <w:rPr>
                <w:rFonts w:ascii="Calibri" w:hAnsi="Calibri"/>
                <w:b/>
              </w:rPr>
            </w:pPr>
          </w:p>
          <w:p w:rsidR="00F90D8D" w:rsidRDefault="00F90D8D" w:rsidP="00F90D8D">
            <w:pPr>
              <w:tabs>
                <w:tab w:val="left" w:pos="270"/>
                <w:tab w:val="left" w:pos="900"/>
              </w:tabs>
              <w:contextualSpacing/>
              <w:jc w:val="center"/>
              <w:rPr>
                <w:rFonts w:ascii="Calibri" w:hAnsi="Calibri"/>
                <w:b/>
              </w:rPr>
            </w:pPr>
          </w:p>
          <w:p w:rsidR="00F90D8D" w:rsidRDefault="00F90D8D" w:rsidP="00F90D8D">
            <w:pPr>
              <w:tabs>
                <w:tab w:val="left" w:pos="270"/>
                <w:tab w:val="left" w:pos="900"/>
              </w:tabs>
              <w:contextualSpacing/>
              <w:jc w:val="center"/>
              <w:rPr>
                <w:rFonts w:ascii="Calibri" w:hAnsi="Calibri"/>
                <w:b/>
              </w:rPr>
            </w:pPr>
          </w:p>
          <w:p w:rsidR="00F90D8D" w:rsidRDefault="00F90D8D" w:rsidP="00F90D8D">
            <w:pPr>
              <w:tabs>
                <w:tab w:val="left" w:pos="270"/>
                <w:tab w:val="left" w:pos="900"/>
              </w:tabs>
              <w:contextualSpacing/>
              <w:jc w:val="center"/>
              <w:rPr>
                <w:rFonts w:ascii="Calibri" w:hAnsi="Calibri"/>
                <w:b/>
              </w:rPr>
            </w:pPr>
          </w:p>
          <w:p w:rsidR="00F90D8D" w:rsidRPr="008D630E" w:rsidRDefault="00F90D8D" w:rsidP="00F90D8D">
            <w:pPr>
              <w:tabs>
                <w:tab w:val="left" w:pos="270"/>
                <w:tab w:val="left" w:pos="900"/>
              </w:tabs>
              <w:contextualSpacing/>
              <w:rPr>
                <w:rFonts w:ascii="Calibri" w:hAnsi="Calibri"/>
                <w:b/>
              </w:rPr>
            </w:pPr>
          </w:p>
        </w:tc>
        <w:tc>
          <w:tcPr>
            <w:tcW w:w="5850" w:type="dxa"/>
            <w:tcBorders>
              <w:top w:val="single" w:sz="4" w:space="0" w:color="auto"/>
            </w:tcBorders>
            <w:shd w:val="clear" w:color="auto" w:fill="auto"/>
          </w:tcPr>
          <w:p w:rsidR="00F90D8D" w:rsidRDefault="00F90D8D" w:rsidP="00F90D8D">
            <w:pPr>
              <w:contextualSpacing/>
              <w:rPr>
                <w:rFonts w:ascii="Calibri" w:hAnsi="Calibri"/>
              </w:rPr>
            </w:pPr>
            <w:r>
              <w:rPr>
                <w:rFonts w:ascii="Calibri" w:hAnsi="Calibri"/>
              </w:rPr>
              <w:t xml:space="preserve">The toxicology learning experience encompasses the management of all toxicology patients encountered during the residency year. The resident will review all patients presenting with toxicological complaints and intervene when necessary. Patient care and topic discussions include the toxicity of: acetaminophen, salicylates, tricyclic antidepressants, digoxin, lithium, calcium channel blockers, beta blockers, anticonvulsants, </w:t>
            </w:r>
            <w:proofErr w:type="spellStart"/>
            <w:r>
              <w:rPr>
                <w:rFonts w:ascii="Calibri" w:hAnsi="Calibri"/>
              </w:rPr>
              <w:t>antihistaminergic</w:t>
            </w:r>
            <w:proofErr w:type="spellEnd"/>
            <w:r>
              <w:rPr>
                <w:rFonts w:ascii="Calibri" w:hAnsi="Calibri"/>
              </w:rPr>
              <w:t xml:space="preserve"> and anticholinergic agents, snake bites, carbon monoxide, cyanide, alcohols, and organophosphates.</w:t>
            </w:r>
          </w:p>
          <w:p w:rsidR="00F90D8D" w:rsidRPr="008D630E" w:rsidRDefault="00F90D8D" w:rsidP="00F90D8D">
            <w:pPr>
              <w:contextualSpacing/>
              <w:rPr>
                <w:rFonts w:ascii="Calibri" w:hAnsi="Calibri"/>
              </w:rPr>
            </w:pPr>
          </w:p>
        </w:tc>
      </w:tr>
      <w:tr w:rsidR="00F90D8D" w:rsidRPr="008D630E" w:rsidTr="00241A29">
        <w:trPr>
          <w:cantSplit/>
          <w:trHeight w:val="287"/>
          <w:jc w:val="center"/>
        </w:trPr>
        <w:tc>
          <w:tcPr>
            <w:tcW w:w="95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0D8D" w:rsidRDefault="00F90D8D" w:rsidP="00F90D8D">
            <w:pPr>
              <w:jc w:val="center"/>
            </w:pPr>
            <w:r w:rsidRPr="00CE23F1">
              <w:rPr>
                <w:rFonts w:ascii="Calibri" w:hAnsi="Calibri"/>
                <w:b/>
                <w:sz w:val="22"/>
              </w:rPr>
              <w:t>Ele</w:t>
            </w:r>
            <w:r>
              <w:rPr>
                <w:rFonts w:ascii="Calibri" w:hAnsi="Calibri"/>
                <w:b/>
                <w:sz w:val="22"/>
              </w:rPr>
              <w:t>ctive Learning Experiences (4 weeks)</w:t>
            </w:r>
          </w:p>
        </w:tc>
      </w:tr>
      <w:tr w:rsidR="00F90D8D" w:rsidRPr="008D630E" w:rsidTr="00F90D8D">
        <w:trPr>
          <w:cantSplit/>
          <w:trHeight w:val="287"/>
          <w:jc w:val="center"/>
        </w:trPr>
        <w:tc>
          <w:tcPr>
            <w:tcW w:w="3708" w:type="dxa"/>
            <w:tcBorders>
              <w:top w:val="single" w:sz="4" w:space="0" w:color="auto"/>
              <w:bottom w:val="single" w:sz="4" w:space="0" w:color="auto"/>
            </w:tcBorders>
            <w:shd w:val="clear" w:color="auto" w:fill="auto"/>
            <w:vAlign w:val="center"/>
          </w:tcPr>
          <w:p w:rsidR="00F90D8D" w:rsidRDefault="00F90D8D" w:rsidP="00F90D8D">
            <w:pPr>
              <w:tabs>
                <w:tab w:val="left" w:pos="270"/>
                <w:tab w:val="left" w:pos="900"/>
              </w:tabs>
              <w:contextualSpacing/>
              <w:jc w:val="center"/>
              <w:rPr>
                <w:rFonts w:ascii="Calibri" w:hAnsi="Calibri"/>
                <w:b/>
              </w:rPr>
            </w:pPr>
            <w:r>
              <w:rPr>
                <w:rFonts w:ascii="Calibri" w:hAnsi="Calibri"/>
                <w:b/>
              </w:rPr>
              <w:t xml:space="preserve">Infectious Disease </w:t>
            </w:r>
          </w:p>
          <w:p w:rsidR="00F90D8D" w:rsidRDefault="00F90D8D" w:rsidP="00F90D8D">
            <w:pPr>
              <w:tabs>
                <w:tab w:val="left" w:pos="270"/>
                <w:tab w:val="left" w:pos="900"/>
              </w:tabs>
              <w:contextualSpacing/>
              <w:jc w:val="center"/>
              <w:rPr>
                <w:rFonts w:ascii="Calibri" w:hAnsi="Calibri"/>
              </w:rPr>
            </w:pPr>
            <w:r>
              <w:rPr>
                <w:rFonts w:ascii="Calibri" w:hAnsi="Calibri"/>
              </w:rPr>
              <w:t xml:space="preserve">Elective, 2-4 weeks </w:t>
            </w:r>
          </w:p>
          <w:p w:rsidR="00F90D8D" w:rsidRDefault="00F90D8D" w:rsidP="00F90D8D">
            <w:pPr>
              <w:tabs>
                <w:tab w:val="left" w:pos="270"/>
                <w:tab w:val="left" w:pos="900"/>
              </w:tabs>
              <w:contextualSpacing/>
              <w:jc w:val="center"/>
              <w:rPr>
                <w:rFonts w:ascii="Calibri" w:hAnsi="Calibri"/>
              </w:rPr>
            </w:pPr>
          </w:p>
          <w:p w:rsidR="00F90D8D" w:rsidRPr="00332E9E" w:rsidRDefault="00F90D8D" w:rsidP="00F90D8D">
            <w:pPr>
              <w:tabs>
                <w:tab w:val="left" w:pos="270"/>
                <w:tab w:val="left" w:pos="900"/>
              </w:tabs>
              <w:contextualSpacing/>
              <w:jc w:val="center"/>
              <w:rPr>
                <w:rFonts w:ascii="Calibri" w:hAnsi="Calibri"/>
              </w:rPr>
            </w:pPr>
            <w:r>
              <w:rPr>
                <w:rFonts w:ascii="Calibri" w:hAnsi="Calibri"/>
              </w:rPr>
              <w:t>Jessica Cobian, Pharm.D., BCPS</w:t>
            </w:r>
          </w:p>
        </w:tc>
        <w:tc>
          <w:tcPr>
            <w:tcW w:w="5850" w:type="dxa"/>
            <w:tcBorders>
              <w:top w:val="single" w:sz="4" w:space="0" w:color="auto"/>
              <w:bottom w:val="single" w:sz="4" w:space="0" w:color="auto"/>
            </w:tcBorders>
            <w:shd w:val="clear" w:color="auto" w:fill="auto"/>
          </w:tcPr>
          <w:p w:rsidR="00F90D8D" w:rsidRDefault="00F90D8D" w:rsidP="00F90D8D">
            <w:pPr>
              <w:contextualSpacing/>
              <w:rPr>
                <w:rFonts w:ascii="Calibri" w:hAnsi="Calibri"/>
              </w:rPr>
            </w:pPr>
            <w:r>
              <w:rPr>
                <w:rFonts w:ascii="Calibri" w:hAnsi="Calibri"/>
              </w:rPr>
              <w:t xml:space="preserve">The ID elective rotation is an opportunity for the resident to refine pharmacotherapeutic skills when managing patients with infections or suspected infections. Daily responsibilities include patient workup proper identification of patient and drug-related issues, development and implementation of appropriate recommendations, and response to all drug information inquiries in a timely manner. The resident will be provided with the opportunity to round daily with an Infectious Disease physician. The rotational experience and topics will focus on common infections encountered in the emergency department and the selection of appropriate empiric or definitive therapy. </w:t>
            </w:r>
          </w:p>
          <w:p w:rsidR="00F90D8D" w:rsidRPr="008D630E" w:rsidRDefault="00F90D8D" w:rsidP="00F90D8D">
            <w:pPr>
              <w:contextualSpacing/>
              <w:rPr>
                <w:rFonts w:ascii="Calibri" w:hAnsi="Calibri"/>
              </w:rPr>
            </w:pPr>
          </w:p>
        </w:tc>
      </w:tr>
      <w:tr w:rsidR="00F90D8D" w:rsidRPr="008D630E" w:rsidTr="00F90D8D">
        <w:trPr>
          <w:cantSplit/>
          <w:trHeight w:val="287"/>
          <w:jc w:val="center"/>
        </w:trPr>
        <w:tc>
          <w:tcPr>
            <w:tcW w:w="3708" w:type="dxa"/>
            <w:tcBorders>
              <w:top w:val="single" w:sz="4" w:space="0" w:color="auto"/>
            </w:tcBorders>
            <w:shd w:val="clear" w:color="auto" w:fill="auto"/>
            <w:vAlign w:val="center"/>
          </w:tcPr>
          <w:p w:rsidR="00F90D8D" w:rsidRDefault="00F90D8D" w:rsidP="00F90D8D">
            <w:pPr>
              <w:tabs>
                <w:tab w:val="left" w:pos="270"/>
                <w:tab w:val="left" w:pos="900"/>
              </w:tabs>
              <w:contextualSpacing/>
              <w:jc w:val="center"/>
              <w:rPr>
                <w:rFonts w:ascii="Calibri" w:hAnsi="Calibri"/>
                <w:b/>
              </w:rPr>
            </w:pPr>
            <w:r>
              <w:rPr>
                <w:rFonts w:ascii="Calibri" w:hAnsi="Calibri"/>
                <w:b/>
              </w:rPr>
              <w:t>Neurology</w:t>
            </w:r>
          </w:p>
          <w:p w:rsidR="00F90D8D" w:rsidRDefault="00F90D8D" w:rsidP="00F90D8D">
            <w:pPr>
              <w:tabs>
                <w:tab w:val="left" w:pos="270"/>
                <w:tab w:val="left" w:pos="900"/>
              </w:tabs>
              <w:contextualSpacing/>
              <w:jc w:val="center"/>
              <w:rPr>
                <w:rFonts w:ascii="Calibri" w:hAnsi="Calibri"/>
              </w:rPr>
            </w:pPr>
            <w:r>
              <w:rPr>
                <w:rFonts w:ascii="Calibri" w:hAnsi="Calibri"/>
              </w:rPr>
              <w:t xml:space="preserve">Elective, 2-4 weeks  </w:t>
            </w:r>
          </w:p>
          <w:p w:rsidR="00F90D8D" w:rsidRDefault="00F90D8D" w:rsidP="00F90D8D">
            <w:pPr>
              <w:tabs>
                <w:tab w:val="left" w:pos="270"/>
                <w:tab w:val="left" w:pos="900"/>
              </w:tabs>
              <w:contextualSpacing/>
              <w:jc w:val="center"/>
              <w:rPr>
                <w:rFonts w:ascii="Calibri" w:hAnsi="Calibri"/>
              </w:rPr>
            </w:pPr>
          </w:p>
          <w:p w:rsidR="00F90D8D" w:rsidRPr="00332E9E" w:rsidRDefault="00F90D8D" w:rsidP="00F90D8D">
            <w:pPr>
              <w:tabs>
                <w:tab w:val="left" w:pos="270"/>
                <w:tab w:val="left" w:pos="900"/>
              </w:tabs>
              <w:contextualSpacing/>
              <w:jc w:val="center"/>
              <w:rPr>
                <w:rFonts w:ascii="Calibri" w:hAnsi="Calibri"/>
              </w:rPr>
            </w:pPr>
            <w:r>
              <w:rPr>
                <w:rFonts w:ascii="Calibri" w:hAnsi="Calibri"/>
              </w:rPr>
              <w:t>Neurologist TBD</w:t>
            </w:r>
          </w:p>
        </w:tc>
        <w:tc>
          <w:tcPr>
            <w:tcW w:w="5850" w:type="dxa"/>
            <w:tcBorders>
              <w:top w:val="single" w:sz="4" w:space="0" w:color="auto"/>
            </w:tcBorders>
            <w:shd w:val="clear" w:color="auto" w:fill="auto"/>
          </w:tcPr>
          <w:p w:rsidR="00F90D8D" w:rsidRDefault="00F90D8D" w:rsidP="00F90D8D">
            <w:pPr>
              <w:contextualSpacing/>
              <w:rPr>
                <w:rFonts w:ascii="Calibri" w:hAnsi="Calibri"/>
              </w:rPr>
            </w:pPr>
            <w:r>
              <w:rPr>
                <w:rFonts w:ascii="Calibri" w:hAnsi="Calibri"/>
              </w:rPr>
              <w:t xml:space="preserve">The neurology rotation is an opportunity for the resident to focus on the pharmacological management of acute neurological emergencies. Residents may be able to round with one of our neurologists as well as have opportunities for additional stroke call. Patient care and assigned topics include: altered mental status, headache, intracranial hemorrhage, intracranial pressure management, ischemic stroke, neurogenic shock, and seizures.  </w:t>
            </w:r>
          </w:p>
          <w:p w:rsidR="00F90D8D" w:rsidRPr="008D630E" w:rsidRDefault="00F90D8D" w:rsidP="00F90D8D">
            <w:pPr>
              <w:contextualSpacing/>
              <w:rPr>
                <w:rFonts w:ascii="Calibri" w:hAnsi="Calibri"/>
              </w:rPr>
            </w:pPr>
          </w:p>
        </w:tc>
      </w:tr>
      <w:tr w:rsidR="00F90D8D" w:rsidRPr="008D630E" w:rsidTr="00F90D8D">
        <w:trPr>
          <w:cantSplit/>
          <w:trHeight w:val="287"/>
          <w:jc w:val="center"/>
        </w:trPr>
        <w:tc>
          <w:tcPr>
            <w:tcW w:w="3708" w:type="dxa"/>
            <w:tcBorders>
              <w:top w:val="single" w:sz="4" w:space="0" w:color="auto"/>
            </w:tcBorders>
            <w:shd w:val="clear" w:color="auto" w:fill="auto"/>
            <w:vAlign w:val="center"/>
          </w:tcPr>
          <w:p w:rsidR="00F90D8D" w:rsidRDefault="00F90D8D" w:rsidP="00F90D8D">
            <w:pPr>
              <w:tabs>
                <w:tab w:val="left" w:pos="270"/>
                <w:tab w:val="left" w:pos="900"/>
              </w:tabs>
              <w:contextualSpacing/>
              <w:jc w:val="center"/>
              <w:rPr>
                <w:rFonts w:ascii="Calibri" w:hAnsi="Calibri"/>
                <w:b/>
              </w:rPr>
            </w:pPr>
            <w:r>
              <w:rPr>
                <w:rFonts w:ascii="Calibri" w:hAnsi="Calibri"/>
                <w:b/>
              </w:rPr>
              <w:lastRenderedPageBreak/>
              <w:t>Pain Management</w:t>
            </w:r>
          </w:p>
          <w:p w:rsidR="00F90D8D" w:rsidRDefault="00F90D8D" w:rsidP="00F90D8D">
            <w:pPr>
              <w:tabs>
                <w:tab w:val="left" w:pos="270"/>
                <w:tab w:val="left" w:pos="900"/>
              </w:tabs>
              <w:contextualSpacing/>
              <w:jc w:val="center"/>
              <w:rPr>
                <w:rFonts w:ascii="Calibri" w:hAnsi="Calibri"/>
              </w:rPr>
            </w:pPr>
            <w:r>
              <w:rPr>
                <w:rFonts w:ascii="Calibri" w:hAnsi="Calibri"/>
              </w:rPr>
              <w:t xml:space="preserve">Elective, 2-4 weeks </w:t>
            </w:r>
          </w:p>
          <w:p w:rsidR="00F90D8D" w:rsidRDefault="00F90D8D" w:rsidP="00F90D8D">
            <w:pPr>
              <w:tabs>
                <w:tab w:val="left" w:pos="270"/>
                <w:tab w:val="left" w:pos="900"/>
              </w:tabs>
              <w:contextualSpacing/>
              <w:jc w:val="center"/>
              <w:rPr>
                <w:rFonts w:ascii="Calibri" w:hAnsi="Calibri"/>
              </w:rPr>
            </w:pPr>
          </w:p>
          <w:p w:rsidR="00F90D8D" w:rsidRPr="00332E9E" w:rsidRDefault="00F90D8D" w:rsidP="00F90D8D">
            <w:pPr>
              <w:tabs>
                <w:tab w:val="left" w:pos="270"/>
                <w:tab w:val="left" w:pos="900"/>
              </w:tabs>
              <w:contextualSpacing/>
              <w:jc w:val="center"/>
              <w:rPr>
                <w:rFonts w:ascii="Calibri" w:hAnsi="Calibri"/>
              </w:rPr>
            </w:pPr>
            <w:r>
              <w:rPr>
                <w:rFonts w:ascii="Calibri" w:hAnsi="Calibri"/>
              </w:rPr>
              <w:t xml:space="preserve">Anthony Pazanese, Pharm.D. </w:t>
            </w:r>
          </w:p>
        </w:tc>
        <w:tc>
          <w:tcPr>
            <w:tcW w:w="5850" w:type="dxa"/>
            <w:tcBorders>
              <w:top w:val="single" w:sz="4" w:space="0" w:color="auto"/>
            </w:tcBorders>
            <w:shd w:val="clear" w:color="auto" w:fill="auto"/>
          </w:tcPr>
          <w:p w:rsidR="00F90D8D" w:rsidRPr="008D630E" w:rsidRDefault="00F90D8D" w:rsidP="00F90D8D">
            <w:pPr>
              <w:contextualSpacing/>
              <w:rPr>
                <w:rFonts w:ascii="Calibri" w:hAnsi="Calibri"/>
              </w:rPr>
            </w:pPr>
            <w:r>
              <w:rPr>
                <w:rFonts w:ascii="Calibri" w:hAnsi="Calibri"/>
              </w:rPr>
              <w:t xml:space="preserve">As a member of the pharmacy based pain management service, the resident will have the opportunity to respond to pain consults and perform daily follow up on a variety of patients. Residents will gain exposure to the management of acute postoperative or trauma-related pain syndromes, chronic pain syndromes, and pain syndromes complicated by the presence of substance abuse. Patient care and assigned topics include: opioid and adjuvant pharmacology, acute/chronic pain, neuropathic pain, headache syndromes, substance abuse, sedation, and palliative care in the emergency department. </w:t>
            </w:r>
          </w:p>
        </w:tc>
      </w:tr>
    </w:tbl>
    <w:p w:rsidR="004E7E9F" w:rsidRPr="000B7E41" w:rsidRDefault="004E7E9F" w:rsidP="00670CBE">
      <w:pPr>
        <w:rPr>
          <w:rFonts w:ascii="Calibri" w:hAnsi="Calibri" w:cs="Calibri"/>
          <w:sz w:val="22"/>
          <w:szCs w:val="22"/>
        </w:rPr>
        <w:sectPr w:rsidR="004E7E9F" w:rsidRPr="000B7E41" w:rsidSect="00DD0768">
          <w:headerReference w:type="default" r:id="rId8"/>
          <w:footerReference w:type="default" r:id="rId9"/>
          <w:headerReference w:type="first" r:id="rId10"/>
          <w:pgSz w:w="12240" w:h="15840"/>
          <w:pgMar w:top="1440" w:right="1440" w:bottom="1440" w:left="1440" w:header="0" w:footer="720" w:gutter="0"/>
          <w:cols w:space="720"/>
          <w:titlePg/>
          <w:docGrid w:linePitch="272"/>
        </w:sectPr>
      </w:pPr>
    </w:p>
    <w:p w:rsidR="006B46A2" w:rsidRPr="000B7E41" w:rsidRDefault="006B46A2" w:rsidP="00C83F92">
      <w:pPr>
        <w:rPr>
          <w:rFonts w:ascii="Calibri" w:hAnsi="Calibri" w:cs="Calibri"/>
          <w:sz w:val="22"/>
          <w:szCs w:val="22"/>
        </w:rPr>
      </w:pPr>
    </w:p>
    <w:sectPr w:rsidR="006B46A2" w:rsidRPr="000B7E41" w:rsidSect="002821CF">
      <w:headerReference w:type="default" r:id="rId11"/>
      <w:footerReference w:type="default" r:id="rId12"/>
      <w:type w:val="continuous"/>
      <w:pgSz w:w="12240" w:h="15840"/>
      <w:pgMar w:top="1440" w:right="1440" w:bottom="1440" w:left="1440"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40B" w:rsidRDefault="0078340B" w:rsidP="00C645C3">
      <w:r>
        <w:separator/>
      </w:r>
    </w:p>
  </w:endnote>
  <w:endnote w:type="continuationSeparator" w:id="0">
    <w:p w:rsidR="0078340B" w:rsidRDefault="0078340B" w:rsidP="00C6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964" w:rsidRDefault="00DD0768" w:rsidP="00DD0768">
    <w:pPr>
      <w:pStyle w:val="Footer"/>
      <w:tabs>
        <w:tab w:val="center" w:pos="4680"/>
        <w:tab w:val="left" w:pos="8390"/>
      </w:tabs>
    </w:pPr>
    <w:r>
      <w:tab/>
    </w:r>
    <w:r>
      <w:tab/>
    </w:r>
    <w:r w:rsidR="00300964">
      <w:fldChar w:fldCharType="begin"/>
    </w:r>
    <w:r w:rsidR="00300964">
      <w:instrText xml:space="preserve"> PAGE   \* MERGEFORMAT </w:instrText>
    </w:r>
    <w:r w:rsidR="00300964">
      <w:fldChar w:fldCharType="separate"/>
    </w:r>
    <w:r w:rsidR="00F90D8D">
      <w:rPr>
        <w:noProof/>
      </w:rPr>
      <w:t>4</w:t>
    </w:r>
    <w:r w:rsidR="00300964">
      <w:rPr>
        <w:noProof/>
      </w:rPr>
      <w:fldChar w:fldCharType="end"/>
    </w:r>
    <w:r>
      <w:rPr>
        <w:noProof/>
      </w:rPr>
      <w:tab/>
    </w:r>
  </w:p>
  <w:p w:rsidR="00957C08" w:rsidRDefault="00957C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D4" w:rsidRDefault="001709D4">
    <w:pPr>
      <w:pStyle w:val="Footer"/>
      <w:jc w:val="center"/>
    </w:pPr>
  </w:p>
  <w:p w:rsidR="00300964" w:rsidRDefault="00300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40B" w:rsidRDefault="0078340B" w:rsidP="00C645C3">
      <w:r>
        <w:separator/>
      </w:r>
    </w:p>
  </w:footnote>
  <w:footnote w:type="continuationSeparator" w:id="0">
    <w:p w:rsidR="0078340B" w:rsidRDefault="0078340B" w:rsidP="00C64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87" w:rsidRDefault="00E55BEE" w:rsidP="00300964">
    <w:r>
      <w:rPr>
        <w:noProof/>
      </w:rPr>
      <w:drawing>
        <wp:anchor distT="0" distB="0" distL="114300" distR="114300" simplePos="0" relativeHeight="251656192" behindDoc="1" locked="1" layoutInCell="0" allowOverlap="0">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964" w:rsidRDefault="00E55BEE">
    <w:pPr>
      <w:pStyle w:val="Header"/>
    </w:pPr>
    <w:r>
      <w:rPr>
        <w:noProof/>
      </w:rPr>
      <w:drawing>
        <wp:anchor distT="0" distB="0" distL="114300" distR="114300" simplePos="0" relativeHeight="251658240" behindDoc="1" locked="1" layoutInCell="0" allowOverlap="0">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964" w:rsidRDefault="00E55BEE" w:rsidP="00300964">
    <w:r>
      <w:rPr>
        <w:noProof/>
      </w:rPr>
      <w:drawing>
        <wp:anchor distT="0" distB="0" distL="114300" distR="114300" simplePos="0" relativeHeight="251659264" behindDoc="1" locked="1" layoutInCell="0" allowOverlap="0">
          <wp:simplePos x="0" y="0"/>
          <wp:positionH relativeFrom="page">
            <wp:posOffset>0</wp:posOffset>
          </wp:positionH>
          <wp:positionV relativeFrom="page">
            <wp:posOffset>0</wp:posOffset>
          </wp:positionV>
          <wp:extent cx="7772400" cy="100584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237D"/>
    <w:multiLevelType w:val="hybridMultilevel"/>
    <w:tmpl w:val="4972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1031F"/>
    <w:multiLevelType w:val="hybridMultilevel"/>
    <w:tmpl w:val="B8AE6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70CF6"/>
    <w:multiLevelType w:val="hybridMultilevel"/>
    <w:tmpl w:val="DA801E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76C4E20"/>
    <w:multiLevelType w:val="hybridMultilevel"/>
    <w:tmpl w:val="AE6E5286"/>
    <w:lvl w:ilvl="0" w:tplc="0E32FBE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A2FFC"/>
    <w:multiLevelType w:val="hybridMultilevel"/>
    <w:tmpl w:val="42701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77345"/>
    <w:multiLevelType w:val="hybridMultilevel"/>
    <w:tmpl w:val="9204066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F6807EC"/>
    <w:multiLevelType w:val="hybridMultilevel"/>
    <w:tmpl w:val="1A407AB4"/>
    <w:lvl w:ilvl="0" w:tplc="0E32FBE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AF39CB"/>
    <w:multiLevelType w:val="hybridMultilevel"/>
    <w:tmpl w:val="A42CB4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1835C96"/>
    <w:multiLevelType w:val="hybridMultilevel"/>
    <w:tmpl w:val="3D2C5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35EBE"/>
    <w:multiLevelType w:val="hybridMultilevel"/>
    <w:tmpl w:val="B62E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11141"/>
    <w:multiLevelType w:val="hybridMultilevel"/>
    <w:tmpl w:val="329030E0"/>
    <w:lvl w:ilvl="0" w:tplc="0E32FBE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1350D7"/>
    <w:multiLevelType w:val="hybridMultilevel"/>
    <w:tmpl w:val="F836D610"/>
    <w:lvl w:ilvl="0" w:tplc="0E32FBE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C7678"/>
    <w:multiLevelType w:val="hybridMultilevel"/>
    <w:tmpl w:val="5FDE4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C6A1B"/>
    <w:multiLevelType w:val="hybridMultilevel"/>
    <w:tmpl w:val="D944B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FE70C2"/>
    <w:multiLevelType w:val="hybridMultilevel"/>
    <w:tmpl w:val="212616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50537A0"/>
    <w:multiLevelType w:val="hybridMultilevel"/>
    <w:tmpl w:val="69E85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704BA"/>
    <w:multiLevelType w:val="hybridMultilevel"/>
    <w:tmpl w:val="F4D8B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CD7966"/>
    <w:multiLevelType w:val="hybridMultilevel"/>
    <w:tmpl w:val="3AB4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11683"/>
    <w:multiLevelType w:val="hybridMultilevel"/>
    <w:tmpl w:val="CDA2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F2806"/>
    <w:multiLevelType w:val="hybridMultilevel"/>
    <w:tmpl w:val="F5C8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4012F"/>
    <w:multiLevelType w:val="hybridMultilevel"/>
    <w:tmpl w:val="0C8CA4C0"/>
    <w:lvl w:ilvl="0" w:tplc="0E32FBE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900F42"/>
    <w:multiLevelType w:val="hybridMultilevel"/>
    <w:tmpl w:val="F88A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B337B"/>
    <w:multiLevelType w:val="hybridMultilevel"/>
    <w:tmpl w:val="68DE6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81021D"/>
    <w:multiLevelType w:val="hybridMultilevel"/>
    <w:tmpl w:val="7FDC9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9C46C4"/>
    <w:multiLevelType w:val="hybridMultilevel"/>
    <w:tmpl w:val="19B4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3445F"/>
    <w:multiLevelType w:val="hybridMultilevel"/>
    <w:tmpl w:val="28F81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253105"/>
    <w:multiLevelType w:val="hybridMultilevel"/>
    <w:tmpl w:val="8DAEB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DA484A"/>
    <w:multiLevelType w:val="hybridMultilevel"/>
    <w:tmpl w:val="EA6A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B203D"/>
    <w:multiLevelType w:val="hybridMultilevel"/>
    <w:tmpl w:val="B7524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E40DE9"/>
    <w:multiLevelType w:val="hybridMultilevel"/>
    <w:tmpl w:val="8F96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FE67DA"/>
    <w:multiLevelType w:val="hybridMultilevel"/>
    <w:tmpl w:val="F9AA8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7833BB"/>
    <w:multiLevelType w:val="hybridMultilevel"/>
    <w:tmpl w:val="8D8EF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E68F5"/>
    <w:multiLevelType w:val="hybridMultilevel"/>
    <w:tmpl w:val="8E92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26A4B"/>
    <w:multiLevelType w:val="hybridMultilevel"/>
    <w:tmpl w:val="193ED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C71BA1"/>
    <w:multiLevelType w:val="hybridMultilevel"/>
    <w:tmpl w:val="6812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23FE3"/>
    <w:multiLevelType w:val="hybridMultilevel"/>
    <w:tmpl w:val="7702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D400F"/>
    <w:multiLevelType w:val="hybridMultilevel"/>
    <w:tmpl w:val="3DCC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7558D"/>
    <w:multiLevelType w:val="hybridMultilevel"/>
    <w:tmpl w:val="7C34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6"/>
  </w:num>
  <w:num w:numId="4">
    <w:abstractNumId w:val="11"/>
  </w:num>
  <w:num w:numId="5">
    <w:abstractNumId w:val="3"/>
  </w:num>
  <w:num w:numId="6">
    <w:abstractNumId w:val="8"/>
  </w:num>
  <w:num w:numId="7">
    <w:abstractNumId w:val="5"/>
  </w:num>
  <w:num w:numId="8">
    <w:abstractNumId w:val="26"/>
  </w:num>
  <w:num w:numId="9">
    <w:abstractNumId w:val="12"/>
  </w:num>
  <w:num w:numId="10">
    <w:abstractNumId w:val="29"/>
  </w:num>
  <w:num w:numId="11">
    <w:abstractNumId w:val="35"/>
  </w:num>
  <w:num w:numId="12">
    <w:abstractNumId w:val="1"/>
  </w:num>
  <w:num w:numId="13">
    <w:abstractNumId w:val="7"/>
  </w:num>
  <w:num w:numId="14">
    <w:abstractNumId w:val="24"/>
  </w:num>
  <w:num w:numId="15">
    <w:abstractNumId w:val="9"/>
  </w:num>
  <w:num w:numId="16">
    <w:abstractNumId w:val="2"/>
  </w:num>
  <w:num w:numId="17">
    <w:abstractNumId w:val="14"/>
  </w:num>
  <w:num w:numId="18">
    <w:abstractNumId w:val="0"/>
  </w:num>
  <w:num w:numId="19">
    <w:abstractNumId w:val="22"/>
  </w:num>
  <w:num w:numId="20">
    <w:abstractNumId w:val="4"/>
  </w:num>
  <w:num w:numId="21">
    <w:abstractNumId w:val="23"/>
  </w:num>
  <w:num w:numId="22">
    <w:abstractNumId w:val="15"/>
  </w:num>
  <w:num w:numId="23">
    <w:abstractNumId w:val="19"/>
  </w:num>
  <w:num w:numId="24">
    <w:abstractNumId w:val="25"/>
  </w:num>
  <w:num w:numId="25">
    <w:abstractNumId w:val="28"/>
  </w:num>
  <w:num w:numId="26">
    <w:abstractNumId w:val="13"/>
  </w:num>
  <w:num w:numId="27">
    <w:abstractNumId w:val="16"/>
  </w:num>
  <w:num w:numId="28">
    <w:abstractNumId w:val="21"/>
  </w:num>
  <w:num w:numId="29">
    <w:abstractNumId w:val="36"/>
  </w:num>
  <w:num w:numId="30">
    <w:abstractNumId w:val="31"/>
  </w:num>
  <w:num w:numId="31">
    <w:abstractNumId w:val="27"/>
  </w:num>
  <w:num w:numId="32">
    <w:abstractNumId w:val="18"/>
  </w:num>
  <w:num w:numId="33">
    <w:abstractNumId w:val="32"/>
  </w:num>
  <w:num w:numId="34">
    <w:abstractNumId w:val="33"/>
  </w:num>
  <w:num w:numId="35">
    <w:abstractNumId w:val="30"/>
  </w:num>
  <w:num w:numId="36">
    <w:abstractNumId w:val="34"/>
  </w:num>
  <w:num w:numId="37">
    <w:abstractNumId w:val="3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8193" style="mso-position-horizontal-relative:page;mso-position-vertical-relative:page" o:allowincell="f" strokecolor="#930">
      <v:stroke color="#9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6D"/>
    <w:rsid w:val="00007323"/>
    <w:rsid w:val="00010775"/>
    <w:rsid w:val="000124EB"/>
    <w:rsid w:val="00012DF9"/>
    <w:rsid w:val="000144CA"/>
    <w:rsid w:val="000176A8"/>
    <w:rsid w:val="000230DC"/>
    <w:rsid w:val="000305C6"/>
    <w:rsid w:val="00031A92"/>
    <w:rsid w:val="00040193"/>
    <w:rsid w:val="00050B2C"/>
    <w:rsid w:val="00055D5F"/>
    <w:rsid w:val="00064CE0"/>
    <w:rsid w:val="00067992"/>
    <w:rsid w:val="00071D30"/>
    <w:rsid w:val="0007275A"/>
    <w:rsid w:val="00076D6D"/>
    <w:rsid w:val="0008031F"/>
    <w:rsid w:val="000833E1"/>
    <w:rsid w:val="0008785D"/>
    <w:rsid w:val="0009124A"/>
    <w:rsid w:val="000A4221"/>
    <w:rsid w:val="000B16C3"/>
    <w:rsid w:val="000B3953"/>
    <w:rsid w:val="000B530F"/>
    <w:rsid w:val="000B7E41"/>
    <w:rsid w:val="000C1EE7"/>
    <w:rsid w:val="000C1F24"/>
    <w:rsid w:val="000D05C4"/>
    <w:rsid w:val="000D14AC"/>
    <w:rsid w:val="000D3AF9"/>
    <w:rsid w:val="000E6F5B"/>
    <w:rsid w:val="000F4697"/>
    <w:rsid w:val="000F56D1"/>
    <w:rsid w:val="00101FE9"/>
    <w:rsid w:val="001131EE"/>
    <w:rsid w:val="00113FE1"/>
    <w:rsid w:val="001247E5"/>
    <w:rsid w:val="0012492D"/>
    <w:rsid w:val="00143771"/>
    <w:rsid w:val="001503A7"/>
    <w:rsid w:val="00150E9D"/>
    <w:rsid w:val="001674FB"/>
    <w:rsid w:val="001709D4"/>
    <w:rsid w:val="00172627"/>
    <w:rsid w:val="00172665"/>
    <w:rsid w:val="00180058"/>
    <w:rsid w:val="00180DC2"/>
    <w:rsid w:val="001835BF"/>
    <w:rsid w:val="00186EC9"/>
    <w:rsid w:val="00190424"/>
    <w:rsid w:val="001931EB"/>
    <w:rsid w:val="00196EAE"/>
    <w:rsid w:val="001A112A"/>
    <w:rsid w:val="001A2EAD"/>
    <w:rsid w:val="001A77DF"/>
    <w:rsid w:val="001A7B59"/>
    <w:rsid w:val="001B1CCD"/>
    <w:rsid w:val="001B7D44"/>
    <w:rsid w:val="001C198B"/>
    <w:rsid w:val="001D1049"/>
    <w:rsid w:val="001D3AEA"/>
    <w:rsid w:val="001D4974"/>
    <w:rsid w:val="001E03E3"/>
    <w:rsid w:val="001E49B3"/>
    <w:rsid w:val="001E522D"/>
    <w:rsid w:val="001F3AB9"/>
    <w:rsid w:val="001F4A59"/>
    <w:rsid w:val="001F6700"/>
    <w:rsid w:val="001F7FE8"/>
    <w:rsid w:val="00206776"/>
    <w:rsid w:val="00220FF9"/>
    <w:rsid w:val="0022364A"/>
    <w:rsid w:val="00225DFD"/>
    <w:rsid w:val="0022666E"/>
    <w:rsid w:val="00230081"/>
    <w:rsid w:val="00237127"/>
    <w:rsid w:val="00241A29"/>
    <w:rsid w:val="00242CB1"/>
    <w:rsid w:val="002435A5"/>
    <w:rsid w:val="00244CD8"/>
    <w:rsid w:val="00245ACD"/>
    <w:rsid w:val="002540C8"/>
    <w:rsid w:val="0026731C"/>
    <w:rsid w:val="00271BA2"/>
    <w:rsid w:val="00277ED8"/>
    <w:rsid w:val="002821CF"/>
    <w:rsid w:val="00283608"/>
    <w:rsid w:val="00286837"/>
    <w:rsid w:val="00290A10"/>
    <w:rsid w:val="00290BEA"/>
    <w:rsid w:val="002913C3"/>
    <w:rsid w:val="00291FD4"/>
    <w:rsid w:val="002957A6"/>
    <w:rsid w:val="00297F2C"/>
    <w:rsid w:val="002A1E49"/>
    <w:rsid w:val="002A27D4"/>
    <w:rsid w:val="002A2AAE"/>
    <w:rsid w:val="002A52ED"/>
    <w:rsid w:val="002A68DA"/>
    <w:rsid w:val="002B7700"/>
    <w:rsid w:val="002B7724"/>
    <w:rsid w:val="002D27AC"/>
    <w:rsid w:val="002D3D1E"/>
    <w:rsid w:val="002D45FD"/>
    <w:rsid w:val="002E2464"/>
    <w:rsid w:val="002E27BC"/>
    <w:rsid w:val="002E2B25"/>
    <w:rsid w:val="002E3B81"/>
    <w:rsid w:val="00300964"/>
    <w:rsid w:val="00303698"/>
    <w:rsid w:val="0030652E"/>
    <w:rsid w:val="0030696E"/>
    <w:rsid w:val="00310F8B"/>
    <w:rsid w:val="003204D0"/>
    <w:rsid w:val="00320798"/>
    <w:rsid w:val="00323183"/>
    <w:rsid w:val="0032465E"/>
    <w:rsid w:val="00327120"/>
    <w:rsid w:val="00332E9E"/>
    <w:rsid w:val="00342C47"/>
    <w:rsid w:val="0034469C"/>
    <w:rsid w:val="0034554C"/>
    <w:rsid w:val="00353318"/>
    <w:rsid w:val="00356B38"/>
    <w:rsid w:val="003574A6"/>
    <w:rsid w:val="00360B62"/>
    <w:rsid w:val="00373EFA"/>
    <w:rsid w:val="00375417"/>
    <w:rsid w:val="003806D3"/>
    <w:rsid w:val="00393900"/>
    <w:rsid w:val="00397013"/>
    <w:rsid w:val="00397A6B"/>
    <w:rsid w:val="00397B5E"/>
    <w:rsid w:val="003D42FA"/>
    <w:rsid w:val="003E3C3C"/>
    <w:rsid w:val="003E5103"/>
    <w:rsid w:val="003E7859"/>
    <w:rsid w:val="003F1472"/>
    <w:rsid w:val="004015F1"/>
    <w:rsid w:val="00402320"/>
    <w:rsid w:val="004030AB"/>
    <w:rsid w:val="00406C23"/>
    <w:rsid w:val="004259DB"/>
    <w:rsid w:val="00431060"/>
    <w:rsid w:val="00433E16"/>
    <w:rsid w:val="00434CC6"/>
    <w:rsid w:val="00442166"/>
    <w:rsid w:val="00442636"/>
    <w:rsid w:val="00442E9D"/>
    <w:rsid w:val="004430CF"/>
    <w:rsid w:val="00447CD5"/>
    <w:rsid w:val="00456BDF"/>
    <w:rsid w:val="00456C08"/>
    <w:rsid w:val="00456F23"/>
    <w:rsid w:val="00461DFD"/>
    <w:rsid w:val="0046537F"/>
    <w:rsid w:val="0046620C"/>
    <w:rsid w:val="00474E4B"/>
    <w:rsid w:val="004821BB"/>
    <w:rsid w:val="004822A1"/>
    <w:rsid w:val="0048393B"/>
    <w:rsid w:val="00483F3E"/>
    <w:rsid w:val="00484EAC"/>
    <w:rsid w:val="0048659F"/>
    <w:rsid w:val="00491AB0"/>
    <w:rsid w:val="0049560E"/>
    <w:rsid w:val="004A2542"/>
    <w:rsid w:val="004A44B6"/>
    <w:rsid w:val="004A5499"/>
    <w:rsid w:val="004A558B"/>
    <w:rsid w:val="004B02B2"/>
    <w:rsid w:val="004B6D9B"/>
    <w:rsid w:val="004B6F44"/>
    <w:rsid w:val="004C0D68"/>
    <w:rsid w:val="004D0382"/>
    <w:rsid w:val="004D08C6"/>
    <w:rsid w:val="004D2598"/>
    <w:rsid w:val="004D3A5C"/>
    <w:rsid w:val="004D587C"/>
    <w:rsid w:val="004D5FF7"/>
    <w:rsid w:val="004E4391"/>
    <w:rsid w:val="004E7E9F"/>
    <w:rsid w:val="004F5881"/>
    <w:rsid w:val="00501B7C"/>
    <w:rsid w:val="00502B60"/>
    <w:rsid w:val="00503294"/>
    <w:rsid w:val="00507BA2"/>
    <w:rsid w:val="005116F7"/>
    <w:rsid w:val="005274A4"/>
    <w:rsid w:val="005338ED"/>
    <w:rsid w:val="00536549"/>
    <w:rsid w:val="00541886"/>
    <w:rsid w:val="005467D5"/>
    <w:rsid w:val="00546C9A"/>
    <w:rsid w:val="005670E2"/>
    <w:rsid w:val="00570BF6"/>
    <w:rsid w:val="00571CBB"/>
    <w:rsid w:val="0057331D"/>
    <w:rsid w:val="00573522"/>
    <w:rsid w:val="00581157"/>
    <w:rsid w:val="00584E36"/>
    <w:rsid w:val="0058718A"/>
    <w:rsid w:val="00587784"/>
    <w:rsid w:val="00591850"/>
    <w:rsid w:val="005925C9"/>
    <w:rsid w:val="00592FE2"/>
    <w:rsid w:val="00593BFB"/>
    <w:rsid w:val="00596021"/>
    <w:rsid w:val="005A7EB6"/>
    <w:rsid w:val="005B222D"/>
    <w:rsid w:val="005B3809"/>
    <w:rsid w:val="005B3F36"/>
    <w:rsid w:val="005B66A8"/>
    <w:rsid w:val="005C4697"/>
    <w:rsid w:val="005C5DFF"/>
    <w:rsid w:val="005D2DBA"/>
    <w:rsid w:val="005E7C81"/>
    <w:rsid w:val="005F1B2F"/>
    <w:rsid w:val="005F3F2F"/>
    <w:rsid w:val="00603D1D"/>
    <w:rsid w:val="00604CFD"/>
    <w:rsid w:val="00613F77"/>
    <w:rsid w:val="00615742"/>
    <w:rsid w:val="00624C8D"/>
    <w:rsid w:val="006261B3"/>
    <w:rsid w:val="006266B6"/>
    <w:rsid w:val="00637E82"/>
    <w:rsid w:val="006418DA"/>
    <w:rsid w:val="00643296"/>
    <w:rsid w:val="00645B87"/>
    <w:rsid w:val="00657A8F"/>
    <w:rsid w:val="00666AFA"/>
    <w:rsid w:val="00670CBE"/>
    <w:rsid w:val="00674D7C"/>
    <w:rsid w:val="00690DD4"/>
    <w:rsid w:val="006933B5"/>
    <w:rsid w:val="00697F2B"/>
    <w:rsid w:val="006A0A63"/>
    <w:rsid w:val="006A0F51"/>
    <w:rsid w:val="006A106D"/>
    <w:rsid w:val="006A14E4"/>
    <w:rsid w:val="006A4539"/>
    <w:rsid w:val="006A4A68"/>
    <w:rsid w:val="006A6FAA"/>
    <w:rsid w:val="006B22F8"/>
    <w:rsid w:val="006B46A2"/>
    <w:rsid w:val="006B6E0F"/>
    <w:rsid w:val="006C07C2"/>
    <w:rsid w:val="006C1542"/>
    <w:rsid w:val="006C7273"/>
    <w:rsid w:val="006D0046"/>
    <w:rsid w:val="006D2A73"/>
    <w:rsid w:val="006E392B"/>
    <w:rsid w:val="006E5EF8"/>
    <w:rsid w:val="006F4261"/>
    <w:rsid w:val="0070238F"/>
    <w:rsid w:val="0070347C"/>
    <w:rsid w:val="00713157"/>
    <w:rsid w:val="00716682"/>
    <w:rsid w:val="00720C7A"/>
    <w:rsid w:val="0072656B"/>
    <w:rsid w:val="00732F93"/>
    <w:rsid w:val="007417ED"/>
    <w:rsid w:val="00744D88"/>
    <w:rsid w:val="00745B3C"/>
    <w:rsid w:val="00753C89"/>
    <w:rsid w:val="0075425C"/>
    <w:rsid w:val="007609E8"/>
    <w:rsid w:val="00760EC7"/>
    <w:rsid w:val="00762A78"/>
    <w:rsid w:val="0076368E"/>
    <w:rsid w:val="0078340B"/>
    <w:rsid w:val="0078370C"/>
    <w:rsid w:val="0079353A"/>
    <w:rsid w:val="00793787"/>
    <w:rsid w:val="007963F6"/>
    <w:rsid w:val="00797F01"/>
    <w:rsid w:val="007B4177"/>
    <w:rsid w:val="007C06B3"/>
    <w:rsid w:val="007C3726"/>
    <w:rsid w:val="007D1C1F"/>
    <w:rsid w:val="007D3179"/>
    <w:rsid w:val="007E331F"/>
    <w:rsid w:val="007E3C15"/>
    <w:rsid w:val="007E3CB9"/>
    <w:rsid w:val="007E6CC4"/>
    <w:rsid w:val="007F5D0D"/>
    <w:rsid w:val="007F7956"/>
    <w:rsid w:val="007F7C42"/>
    <w:rsid w:val="00806BAA"/>
    <w:rsid w:val="008078C5"/>
    <w:rsid w:val="00810EAB"/>
    <w:rsid w:val="008139E5"/>
    <w:rsid w:val="00814AC3"/>
    <w:rsid w:val="00820D55"/>
    <w:rsid w:val="00821017"/>
    <w:rsid w:val="0082156F"/>
    <w:rsid w:val="008260D2"/>
    <w:rsid w:val="00840D17"/>
    <w:rsid w:val="0084198B"/>
    <w:rsid w:val="008424B8"/>
    <w:rsid w:val="008466DA"/>
    <w:rsid w:val="00847EE2"/>
    <w:rsid w:val="008505D3"/>
    <w:rsid w:val="00852DEB"/>
    <w:rsid w:val="00856841"/>
    <w:rsid w:val="008651B3"/>
    <w:rsid w:val="00873440"/>
    <w:rsid w:val="00892E42"/>
    <w:rsid w:val="008B0BD7"/>
    <w:rsid w:val="008B3A85"/>
    <w:rsid w:val="008B4836"/>
    <w:rsid w:val="008B5BF1"/>
    <w:rsid w:val="008C4238"/>
    <w:rsid w:val="008C5AAC"/>
    <w:rsid w:val="008D42D9"/>
    <w:rsid w:val="008D61AA"/>
    <w:rsid w:val="008D630E"/>
    <w:rsid w:val="008D6654"/>
    <w:rsid w:val="008D7C93"/>
    <w:rsid w:val="008E08FA"/>
    <w:rsid w:val="008E1240"/>
    <w:rsid w:val="008E2A64"/>
    <w:rsid w:val="008E3896"/>
    <w:rsid w:val="008E5CA4"/>
    <w:rsid w:val="008F04FB"/>
    <w:rsid w:val="008F072B"/>
    <w:rsid w:val="008F48CB"/>
    <w:rsid w:val="00907881"/>
    <w:rsid w:val="0092190A"/>
    <w:rsid w:val="00933404"/>
    <w:rsid w:val="00943B50"/>
    <w:rsid w:val="00955FF4"/>
    <w:rsid w:val="00957C08"/>
    <w:rsid w:val="00962D3A"/>
    <w:rsid w:val="00962FFD"/>
    <w:rsid w:val="00966169"/>
    <w:rsid w:val="00977EC5"/>
    <w:rsid w:val="00980D23"/>
    <w:rsid w:val="0098280A"/>
    <w:rsid w:val="00986B9E"/>
    <w:rsid w:val="0099331E"/>
    <w:rsid w:val="00996F4D"/>
    <w:rsid w:val="009A491F"/>
    <w:rsid w:val="009B44BE"/>
    <w:rsid w:val="009C02EF"/>
    <w:rsid w:val="009C1EBF"/>
    <w:rsid w:val="009C6F98"/>
    <w:rsid w:val="009D179A"/>
    <w:rsid w:val="009D4EF6"/>
    <w:rsid w:val="009E0ECD"/>
    <w:rsid w:val="009E3B2F"/>
    <w:rsid w:val="009E428A"/>
    <w:rsid w:val="009E4A47"/>
    <w:rsid w:val="009F3DFA"/>
    <w:rsid w:val="00A05E68"/>
    <w:rsid w:val="00A2025A"/>
    <w:rsid w:val="00A25318"/>
    <w:rsid w:val="00A25A28"/>
    <w:rsid w:val="00A26E51"/>
    <w:rsid w:val="00A37CD1"/>
    <w:rsid w:val="00A51F36"/>
    <w:rsid w:val="00A5301B"/>
    <w:rsid w:val="00A566E9"/>
    <w:rsid w:val="00A56B62"/>
    <w:rsid w:val="00A57279"/>
    <w:rsid w:val="00A632B1"/>
    <w:rsid w:val="00A667C3"/>
    <w:rsid w:val="00A71557"/>
    <w:rsid w:val="00A71945"/>
    <w:rsid w:val="00A756AA"/>
    <w:rsid w:val="00A80546"/>
    <w:rsid w:val="00A81DAF"/>
    <w:rsid w:val="00A849B1"/>
    <w:rsid w:val="00A85BFD"/>
    <w:rsid w:val="00A93ACE"/>
    <w:rsid w:val="00A97A3D"/>
    <w:rsid w:val="00AA6F01"/>
    <w:rsid w:val="00AB44EB"/>
    <w:rsid w:val="00AC5B19"/>
    <w:rsid w:val="00AC632E"/>
    <w:rsid w:val="00AD0529"/>
    <w:rsid w:val="00AD0CB7"/>
    <w:rsid w:val="00AD48DA"/>
    <w:rsid w:val="00AD6B28"/>
    <w:rsid w:val="00AE48AB"/>
    <w:rsid w:val="00AE72F0"/>
    <w:rsid w:val="00AF5718"/>
    <w:rsid w:val="00AF5E40"/>
    <w:rsid w:val="00B0034B"/>
    <w:rsid w:val="00B13EF5"/>
    <w:rsid w:val="00B1696E"/>
    <w:rsid w:val="00B252AD"/>
    <w:rsid w:val="00B36552"/>
    <w:rsid w:val="00B423C3"/>
    <w:rsid w:val="00B4343B"/>
    <w:rsid w:val="00B52F55"/>
    <w:rsid w:val="00B614FF"/>
    <w:rsid w:val="00B629F7"/>
    <w:rsid w:val="00B64957"/>
    <w:rsid w:val="00B66E68"/>
    <w:rsid w:val="00B7117B"/>
    <w:rsid w:val="00B7358C"/>
    <w:rsid w:val="00B76D18"/>
    <w:rsid w:val="00B8693D"/>
    <w:rsid w:val="00B95C64"/>
    <w:rsid w:val="00B95DE0"/>
    <w:rsid w:val="00BA06BA"/>
    <w:rsid w:val="00BA0C65"/>
    <w:rsid w:val="00BA1828"/>
    <w:rsid w:val="00BB668D"/>
    <w:rsid w:val="00BB689B"/>
    <w:rsid w:val="00BB6C9B"/>
    <w:rsid w:val="00BC0485"/>
    <w:rsid w:val="00BC51E3"/>
    <w:rsid w:val="00BC5AB1"/>
    <w:rsid w:val="00BC5C87"/>
    <w:rsid w:val="00BD33E4"/>
    <w:rsid w:val="00BE1C2D"/>
    <w:rsid w:val="00BE6CFB"/>
    <w:rsid w:val="00BF6B62"/>
    <w:rsid w:val="00BF6C32"/>
    <w:rsid w:val="00BF7146"/>
    <w:rsid w:val="00C04FC3"/>
    <w:rsid w:val="00C10F72"/>
    <w:rsid w:val="00C23E20"/>
    <w:rsid w:val="00C2633F"/>
    <w:rsid w:val="00C30FA2"/>
    <w:rsid w:val="00C320E5"/>
    <w:rsid w:val="00C32EA6"/>
    <w:rsid w:val="00C37687"/>
    <w:rsid w:val="00C4514E"/>
    <w:rsid w:val="00C52B8A"/>
    <w:rsid w:val="00C52CCC"/>
    <w:rsid w:val="00C53230"/>
    <w:rsid w:val="00C61A95"/>
    <w:rsid w:val="00C645C3"/>
    <w:rsid w:val="00C65E01"/>
    <w:rsid w:val="00C70597"/>
    <w:rsid w:val="00C711E0"/>
    <w:rsid w:val="00C74937"/>
    <w:rsid w:val="00C803E4"/>
    <w:rsid w:val="00C821F9"/>
    <w:rsid w:val="00C83F92"/>
    <w:rsid w:val="00C86E83"/>
    <w:rsid w:val="00CA0330"/>
    <w:rsid w:val="00CA62F2"/>
    <w:rsid w:val="00CB46D9"/>
    <w:rsid w:val="00CB71DC"/>
    <w:rsid w:val="00CB71E6"/>
    <w:rsid w:val="00CC18C4"/>
    <w:rsid w:val="00CF0D63"/>
    <w:rsid w:val="00CF2953"/>
    <w:rsid w:val="00CF3790"/>
    <w:rsid w:val="00CF4A06"/>
    <w:rsid w:val="00D00AD8"/>
    <w:rsid w:val="00D00FCC"/>
    <w:rsid w:val="00D14A71"/>
    <w:rsid w:val="00D16725"/>
    <w:rsid w:val="00D23421"/>
    <w:rsid w:val="00D24B85"/>
    <w:rsid w:val="00D319E6"/>
    <w:rsid w:val="00D33F57"/>
    <w:rsid w:val="00D3468B"/>
    <w:rsid w:val="00D35F8A"/>
    <w:rsid w:val="00D37475"/>
    <w:rsid w:val="00D4549D"/>
    <w:rsid w:val="00D46776"/>
    <w:rsid w:val="00D476F7"/>
    <w:rsid w:val="00D5211A"/>
    <w:rsid w:val="00D562A7"/>
    <w:rsid w:val="00D62075"/>
    <w:rsid w:val="00D652DD"/>
    <w:rsid w:val="00D72A66"/>
    <w:rsid w:val="00D74D43"/>
    <w:rsid w:val="00D7576B"/>
    <w:rsid w:val="00D75849"/>
    <w:rsid w:val="00D934B7"/>
    <w:rsid w:val="00DA6AA7"/>
    <w:rsid w:val="00DB0BF2"/>
    <w:rsid w:val="00DB2762"/>
    <w:rsid w:val="00DB5071"/>
    <w:rsid w:val="00DB6038"/>
    <w:rsid w:val="00DD0768"/>
    <w:rsid w:val="00DD3C0C"/>
    <w:rsid w:val="00DD4A5E"/>
    <w:rsid w:val="00DD5C6B"/>
    <w:rsid w:val="00DD709A"/>
    <w:rsid w:val="00DE235D"/>
    <w:rsid w:val="00DE4721"/>
    <w:rsid w:val="00DE5609"/>
    <w:rsid w:val="00DE7B9A"/>
    <w:rsid w:val="00DF1A76"/>
    <w:rsid w:val="00E03C9A"/>
    <w:rsid w:val="00E14DDD"/>
    <w:rsid w:val="00E20D38"/>
    <w:rsid w:val="00E328E5"/>
    <w:rsid w:val="00E411BE"/>
    <w:rsid w:val="00E414FC"/>
    <w:rsid w:val="00E416C5"/>
    <w:rsid w:val="00E41BB9"/>
    <w:rsid w:val="00E42C32"/>
    <w:rsid w:val="00E4695F"/>
    <w:rsid w:val="00E54BF9"/>
    <w:rsid w:val="00E5533F"/>
    <w:rsid w:val="00E55BEE"/>
    <w:rsid w:val="00E55FF0"/>
    <w:rsid w:val="00E62D67"/>
    <w:rsid w:val="00E65ADA"/>
    <w:rsid w:val="00E67C45"/>
    <w:rsid w:val="00E729EB"/>
    <w:rsid w:val="00E72F8B"/>
    <w:rsid w:val="00E735CE"/>
    <w:rsid w:val="00E75A37"/>
    <w:rsid w:val="00E76BA0"/>
    <w:rsid w:val="00E80727"/>
    <w:rsid w:val="00E82591"/>
    <w:rsid w:val="00E8262F"/>
    <w:rsid w:val="00E82CEC"/>
    <w:rsid w:val="00E83526"/>
    <w:rsid w:val="00E83973"/>
    <w:rsid w:val="00E83FEA"/>
    <w:rsid w:val="00E860A1"/>
    <w:rsid w:val="00E90118"/>
    <w:rsid w:val="00E92C28"/>
    <w:rsid w:val="00E97C28"/>
    <w:rsid w:val="00EA078D"/>
    <w:rsid w:val="00EA228C"/>
    <w:rsid w:val="00EC0A28"/>
    <w:rsid w:val="00EC2915"/>
    <w:rsid w:val="00EC3491"/>
    <w:rsid w:val="00EC79E3"/>
    <w:rsid w:val="00ED1868"/>
    <w:rsid w:val="00ED7A88"/>
    <w:rsid w:val="00EE46C7"/>
    <w:rsid w:val="00EF161A"/>
    <w:rsid w:val="00EF1797"/>
    <w:rsid w:val="00EF2B55"/>
    <w:rsid w:val="00EF4569"/>
    <w:rsid w:val="00EF492F"/>
    <w:rsid w:val="00EF4AFB"/>
    <w:rsid w:val="00EF635D"/>
    <w:rsid w:val="00EF6D14"/>
    <w:rsid w:val="00F00EFF"/>
    <w:rsid w:val="00F055A2"/>
    <w:rsid w:val="00F059AD"/>
    <w:rsid w:val="00F079B2"/>
    <w:rsid w:val="00F11E9F"/>
    <w:rsid w:val="00F121F3"/>
    <w:rsid w:val="00F23814"/>
    <w:rsid w:val="00F23F20"/>
    <w:rsid w:val="00F37381"/>
    <w:rsid w:val="00F5041C"/>
    <w:rsid w:val="00F55D79"/>
    <w:rsid w:val="00F61690"/>
    <w:rsid w:val="00F669C0"/>
    <w:rsid w:val="00F7138D"/>
    <w:rsid w:val="00F753A5"/>
    <w:rsid w:val="00F762B6"/>
    <w:rsid w:val="00F7796B"/>
    <w:rsid w:val="00F8190E"/>
    <w:rsid w:val="00F90D8D"/>
    <w:rsid w:val="00F931AE"/>
    <w:rsid w:val="00F93C3A"/>
    <w:rsid w:val="00F94D38"/>
    <w:rsid w:val="00F95862"/>
    <w:rsid w:val="00FA1778"/>
    <w:rsid w:val="00FA55F3"/>
    <w:rsid w:val="00FA563A"/>
    <w:rsid w:val="00FA6831"/>
    <w:rsid w:val="00FB2DDA"/>
    <w:rsid w:val="00FB4D48"/>
    <w:rsid w:val="00FB4EA4"/>
    <w:rsid w:val="00FB7F87"/>
    <w:rsid w:val="00FC2786"/>
    <w:rsid w:val="00FC3446"/>
    <w:rsid w:val="00FD6BCD"/>
    <w:rsid w:val="00FE179A"/>
    <w:rsid w:val="00FE19D4"/>
    <w:rsid w:val="00FE37AA"/>
    <w:rsid w:val="00FE646D"/>
    <w:rsid w:val="00FF2CD8"/>
    <w:rsid w:val="00FF5449"/>
    <w:rsid w:val="00FF5704"/>
    <w:rsid w:val="00FF5C39"/>
    <w:rsid w:val="00FF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o:allowincell="f" strokecolor="#930">
      <v:stroke color="#930"/>
    </o:shapedefaults>
    <o:shapelayout v:ext="edit">
      <o:idmap v:ext="edit" data="1"/>
    </o:shapelayout>
  </w:shapeDefaults>
  <w:decimalSymbol w:val="."/>
  <w:listSeparator w:val=","/>
  <w15:docId w15:val="{20C9ACB3-5259-495C-8B71-C54538DE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rPr>
  </w:style>
  <w:style w:type="paragraph" w:styleId="Heading1">
    <w:name w:val="heading 1"/>
    <w:basedOn w:val="Normal"/>
    <w:next w:val="Normal"/>
    <w:qFormat/>
    <w:pPr>
      <w:keepNext/>
      <w:jc w:val="center"/>
      <w:outlineLvl w:val="0"/>
    </w:pPr>
    <w:rPr>
      <w:b/>
      <w:sz w:val="32"/>
    </w:rPr>
  </w:style>
  <w:style w:type="paragraph" w:styleId="Heading2">
    <w:name w:val="heading 2"/>
    <w:basedOn w:val="Heading1"/>
    <w:next w:val="Normal"/>
    <w:qFormat/>
    <w:pPr>
      <w:spacing w:after="120"/>
      <w:jc w:val="left"/>
      <w:outlineLvl w:val="1"/>
    </w:pPr>
    <w:rPr>
      <w:b w:val="0"/>
      <w:i/>
      <w:sz w:val="36"/>
    </w:rPr>
  </w:style>
  <w:style w:type="paragraph" w:styleId="Heading3">
    <w:name w:val="heading 3"/>
    <w:basedOn w:val="Heading1"/>
    <w:next w:val="Normal"/>
    <w:qFormat/>
    <w:pPr>
      <w:jc w:val="left"/>
      <w:outlineLvl w:val="2"/>
    </w:pPr>
    <w:rPr>
      <w:color w:val="800000"/>
      <w:sz w:val="28"/>
    </w:rPr>
  </w:style>
  <w:style w:type="paragraph" w:styleId="Heading4">
    <w:name w:val="heading 4"/>
    <w:basedOn w:val="Heading1"/>
    <w:next w:val="Normal"/>
    <w:qFormat/>
    <w:pPr>
      <w:jc w:val="left"/>
      <w:outlineLvl w:val="3"/>
    </w:pPr>
    <w:rPr>
      <w:i/>
      <w:color w:val="003300"/>
      <w:sz w:val="22"/>
    </w:rPr>
  </w:style>
  <w:style w:type="paragraph" w:styleId="Heading5">
    <w:name w:val="heading 5"/>
    <w:basedOn w:val="Heading1"/>
    <w:next w:val="Normal"/>
    <w:qFormat/>
    <w:pPr>
      <w:ind w:left="58"/>
      <w:jc w:val="left"/>
      <w:outlineLvl w:val="4"/>
    </w:pPr>
    <w:rPr>
      <w:b w:val="0"/>
      <w:color w:val="003300"/>
      <w:sz w:val="18"/>
    </w:rPr>
  </w:style>
  <w:style w:type="paragraph" w:styleId="Heading6">
    <w:name w:val="heading 6"/>
    <w:basedOn w:val="Heading1"/>
    <w:next w:val="Normal"/>
    <w:qFormat/>
    <w:pPr>
      <w:jc w:val="left"/>
      <w:outlineLvl w:val="5"/>
    </w:pPr>
    <w:rPr>
      <w:b w:val="0"/>
      <w:sz w:val="24"/>
    </w:rPr>
  </w:style>
  <w:style w:type="paragraph" w:styleId="Heading7">
    <w:name w:val="heading 7"/>
    <w:basedOn w:val="Heading1"/>
    <w:next w:val="Normal"/>
    <w:qFormat/>
    <w:pPr>
      <w:jc w:val="left"/>
      <w:outlineLvl w:val="6"/>
    </w:pPr>
    <w:rPr>
      <w:i/>
      <w:color w:val="003300"/>
      <w:sz w:val="22"/>
    </w:rPr>
  </w:style>
  <w:style w:type="paragraph" w:styleId="Heading8">
    <w:name w:val="heading 8"/>
    <w:basedOn w:val="Heading1"/>
    <w:next w:val="Normal"/>
    <w:qFormat/>
    <w:pPr>
      <w:outlineLvl w:val="7"/>
    </w:pPr>
    <w:rPr>
      <w:sz w:val="22"/>
    </w:rPr>
  </w:style>
  <w:style w:type="paragraph" w:styleId="Heading9">
    <w:name w:val="heading 9"/>
    <w:basedOn w:val="Heading1"/>
    <w:next w:val="Normal"/>
    <w:qFormat/>
    <w:pPr>
      <w:ind w:left="58"/>
      <w:jc w:val="left"/>
      <w:outlineLvl w:val="8"/>
    </w:pPr>
    <w:rPr>
      <w:b w:val="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after="120" w:line="240" w:lineRule="atLeast"/>
    </w:pPr>
  </w:style>
  <w:style w:type="paragraph" w:styleId="BodyTextIndent">
    <w:name w:val="Body Text Indent"/>
    <w:basedOn w:val="Normal"/>
    <w:pPr>
      <w:tabs>
        <w:tab w:val="left" w:pos="180"/>
      </w:tabs>
      <w:ind w:left="180" w:hanging="180"/>
    </w:pPr>
    <w:rPr>
      <w:sz w:val="18"/>
    </w:rPr>
  </w:style>
  <w:style w:type="paragraph" w:customStyle="1" w:styleId="CaptionText">
    <w:name w:val="Caption Text"/>
    <w:basedOn w:val="Normal"/>
    <w:pPr>
      <w:spacing w:line="220" w:lineRule="exact"/>
      <w:jc w:val="center"/>
    </w:pPr>
  </w:style>
  <w:style w:type="paragraph" w:customStyle="1" w:styleId="Masthead">
    <w:name w:val="Masthead"/>
    <w:basedOn w:val="Heading1"/>
    <w:pPr>
      <w:jc w:val="left"/>
    </w:pPr>
    <w:rPr>
      <w:b w:val="0"/>
      <w:color w:val="000000"/>
      <w:sz w:val="96"/>
    </w:rPr>
  </w:style>
  <w:style w:type="paragraph" w:styleId="Quote">
    <w:name w:val="Quote"/>
    <w:basedOn w:val="Normal"/>
    <w:qFormat/>
    <w:pPr>
      <w:spacing w:line="320" w:lineRule="exact"/>
    </w:pPr>
    <w:rPr>
      <w:i/>
      <w:color w:val="003300"/>
    </w:rPr>
  </w:style>
  <w:style w:type="paragraph" w:customStyle="1" w:styleId="RunningHead">
    <w:name w:val="Running Head"/>
    <w:basedOn w:val="Heading3"/>
    <w:pPr>
      <w:jc w:val="right"/>
    </w:pPr>
    <w:rPr>
      <w:color w:val="auto"/>
    </w:rPr>
  </w:style>
  <w:style w:type="paragraph" w:styleId="BodyText2">
    <w:name w:val="Body Text 2"/>
    <w:basedOn w:val="Normal"/>
    <w:rPr>
      <w:color w:val="003300"/>
      <w:sz w:val="22"/>
    </w:rPr>
  </w:style>
  <w:style w:type="character" w:styleId="Hyperlink">
    <w:name w:val="Hyperlink"/>
    <w:rsid w:val="003574A6"/>
    <w:rPr>
      <w:color w:val="0000FF"/>
      <w:u w:val="single"/>
    </w:rPr>
  </w:style>
  <w:style w:type="character" w:customStyle="1" w:styleId="FooterChar">
    <w:name w:val="Footer Char"/>
    <w:link w:val="Footer"/>
    <w:uiPriority w:val="99"/>
    <w:rsid w:val="00957C08"/>
    <w:rPr>
      <w:rFonts w:ascii="Times New Roman" w:eastAsia="Times New Roman" w:hAnsi="Times New Roman"/>
    </w:rPr>
  </w:style>
  <w:style w:type="paragraph" w:styleId="ListParagraph">
    <w:name w:val="List Paragraph"/>
    <w:basedOn w:val="Normal"/>
    <w:uiPriority w:val="34"/>
    <w:qFormat/>
    <w:rsid w:val="00E82591"/>
    <w:pPr>
      <w:ind w:left="720"/>
      <w:contextualSpacing/>
    </w:pPr>
    <w:rPr>
      <w:sz w:val="24"/>
      <w:szCs w:val="24"/>
    </w:rPr>
  </w:style>
  <w:style w:type="table" w:styleId="TableGrid">
    <w:name w:val="Table Grid"/>
    <w:basedOn w:val="TableNormal"/>
    <w:uiPriority w:val="59"/>
    <w:rsid w:val="007F5D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913C3"/>
    <w:rPr>
      <w:rFonts w:ascii="Tahoma" w:hAnsi="Tahoma" w:cs="Tahoma"/>
      <w:sz w:val="16"/>
      <w:szCs w:val="16"/>
    </w:rPr>
  </w:style>
  <w:style w:type="character" w:customStyle="1" w:styleId="BalloonTextChar">
    <w:name w:val="Balloon Text Char"/>
    <w:link w:val="BalloonText"/>
    <w:rsid w:val="002913C3"/>
    <w:rPr>
      <w:rFonts w:ascii="Tahoma" w:eastAsia="Times New Roman" w:hAnsi="Tahoma" w:cs="Tahoma"/>
      <w:sz w:val="16"/>
      <w:szCs w:val="16"/>
    </w:rPr>
  </w:style>
  <w:style w:type="paragraph" w:customStyle="1" w:styleId="Default">
    <w:name w:val="Default"/>
    <w:rsid w:val="00F931A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2037">
      <w:bodyDiv w:val="1"/>
      <w:marLeft w:val="0"/>
      <w:marRight w:val="0"/>
      <w:marTop w:val="0"/>
      <w:marBottom w:val="0"/>
      <w:divBdr>
        <w:top w:val="none" w:sz="0" w:space="0" w:color="auto"/>
        <w:left w:val="none" w:sz="0" w:space="0" w:color="auto"/>
        <w:bottom w:val="none" w:sz="0" w:space="0" w:color="auto"/>
        <w:right w:val="none" w:sz="0" w:space="0" w:color="auto"/>
      </w:divBdr>
    </w:div>
    <w:div w:id="17396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ISB14~1\LOCALS~1\Temp\TCD2742.tm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E6EB-2106-4BB0-BC12-1C2614E9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4</Pages>
  <Words>1218</Words>
  <Characters>7728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PGY1 Pharmacy Residency 2009-2010</vt:lpstr>
    </vt:vector>
  </TitlesOfParts>
  <Company>Microsoft Corporation</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PGY1 Pharmacy Residency 2009-2010</dc:title>
  <dc:creator>Misty Butcher</dc:creator>
  <cp:lastModifiedBy>Kayla Wilson</cp:lastModifiedBy>
  <cp:revision>2</cp:revision>
  <cp:lastPrinted>2015-07-20T13:15:00Z</cp:lastPrinted>
  <dcterms:created xsi:type="dcterms:W3CDTF">2018-10-10T16:56:00Z</dcterms:created>
  <dcterms:modified xsi:type="dcterms:W3CDTF">2018-10-10T16:56:00Z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TC010129241033</vt:lpwstr>
  </property>
</Properties>
</file>